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分项报价表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514"/>
        <w:gridCol w:w="593"/>
        <w:gridCol w:w="642"/>
        <w:gridCol w:w="2651"/>
        <w:gridCol w:w="1193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一、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设备采购费用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绿色积分兑换屋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地面硬化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垃圾桶（含内桶）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（含固定支架）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智能物联网台秤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扫码称重后自动上传数据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智能积分卡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979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POS机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清运电动三轮车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辆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收运车辆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辆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分类垃圾桶芯片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1958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每户两张芯片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分拣器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云数据管理平台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服务期满之后如不续约，需协助甲方在当地建立服务器移交相关数据及平台使用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宣传包装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56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16个村内垃圾分类氛围布置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4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41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二、运行服务费【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一年运行服务费，包括但不限于人员费用（人员配置最低要求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项目经理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1名，指导员9名，清运人员7名，驾驶员2名，维修人员1名）、宣传费用等，人员配备、宣传活动必须满足甲方要求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】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41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eastAsia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730C2"/>
    <w:rsid w:val="38286CC9"/>
    <w:rsid w:val="57A62C76"/>
    <w:rsid w:val="611361AA"/>
    <w:rsid w:val="687E5DDF"/>
    <w:rsid w:val="6AD81268"/>
    <w:rsid w:val="6F0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568</Characters>
  <Lines>0</Lines>
  <Paragraphs>0</Paragraphs>
  <TotalTime>2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2022-04-24T10:59:00Z</dcterms:created>
  <dc:creator>Annie Wang</dc:creator>
  <cp:lastModifiedBy>周苇林</cp:lastModifiedBy>
  <dcterms:modified xsi:type="dcterms:W3CDTF">2022-04-25T05:42:50Z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1EF19702E4AB4CFB94F57BCA8E836049</vt:lpwstr>
  </property>
  <property fmtid="{D5CDD505-2E9C-101B-9397-08002B2CF9AE}" pid="4" name="commondata">
    <vt:lpwstr>eyJoZGlkIjoiODJmODUyMmE1ZDM3Y2UzODY1OTNlZWZkZTE2NGJkOWEifQ==</vt:lpwstr>
  </property>
</Properties>
</file>