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F003D">
      <w:pPr>
        <w:spacing w:line="500" w:lineRule="exact"/>
        <w:jc w:val="center"/>
        <w:rPr>
          <w:rFonts w:ascii="宋体" w:hAnsi="宋体" w:cs="仿宋_GB2312"/>
          <w:sz w:val="44"/>
          <w:szCs w:val="44"/>
        </w:rPr>
      </w:pPr>
      <w:r>
        <w:rPr>
          <w:rFonts w:hint="eastAsia" w:ascii="宋体" w:hAnsi="宋体" w:cs="仿宋_GB2312"/>
          <w:sz w:val="44"/>
          <w:szCs w:val="44"/>
        </w:rPr>
        <w:t>招标公告</w:t>
      </w:r>
    </w:p>
    <w:tbl>
      <w:tblPr>
        <w:tblStyle w:val="8"/>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6147"/>
      </w:tblGrid>
      <w:tr w14:paraId="32D2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72" w:type="dxa"/>
            <w:vAlign w:val="center"/>
          </w:tcPr>
          <w:p w14:paraId="0CCDC4D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招标单位（公章）</w:t>
            </w:r>
          </w:p>
        </w:tc>
        <w:tc>
          <w:tcPr>
            <w:tcW w:w="6147" w:type="dxa"/>
            <w:vAlign w:val="center"/>
          </w:tcPr>
          <w:p w14:paraId="124BE39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 xml:space="preserve">常州常高新数据科技有限公司 </w:t>
            </w:r>
          </w:p>
        </w:tc>
      </w:tr>
      <w:tr w14:paraId="51D8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72" w:type="dxa"/>
            <w:vAlign w:val="center"/>
          </w:tcPr>
          <w:p w14:paraId="55116DC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服务名称</w:t>
            </w:r>
          </w:p>
        </w:tc>
        <w:tc>
          <w:tcPr>
            <w:tcW w:w="6147" w:type="dxa"/>
            <w:vAlign w:val="center"/>
          </w:tcPr>
          <w:p w14:paraId="180EB2E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lang w:eastAsia="zh-CN"/>
              </w:rPr>
              <w:t>数智园区运营平台技术开发服务</w:t>
            </w:r>
            <w:r>
              <w:rPr>
                <w:rFonts w:hint="eastAsia" w:ascii="宋体" w:hAnsi="宋体" w:cs="宋体"/>
                <w:szCs w:val="21"/>
              </w:rPr>
              <w:t>项目</w:t>
            </w:r>
          </w:p>
        </w:tc>
      </w:tr>
      <w:tr w14:paraId="794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572" w:type="dxa"/>
            <w:vAlign w:val="center"/>
          </w:tcPr>
          <w:p w14:paraId="472BE0B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服务地址</w:t>
            </w:r>
          </w:p>
        </w:tc>
        <w:tc>
          <w:tcPr>
            <w:tcW w:w="6147" w:type="dxa"/>
            <w:vAlign w:val="center"/>
          </w:tcPr>
          <w:p w14:paraId="6521BD6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常州市新北区</w:t>
            </w:r>
          </w:p>
        </w:tc>
      </w:tr>
      <w:tr w14:paraId="7C0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72" w:type="dxa"/>
            <w:vAlign w:val="center"/>
          </w:tcPr>
          <w:p w14:paraId="50915F3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招标编号</w:t>
            </w:r>
          </w:p>
        </w:tc>
        <w:tc>
          <w:tcPr>
            <w:tcW w:w="6147" w:type="dxa"/>
            <w:vAlign w:val="center"/>
          </w:tcPr>
          <w:p w14:paraId="5A6E67A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 xml:space="preserve"> </w:t>
            </w:r>
            <w:r>
              <w:rPr>
                <w:rFonts w:hint="default" w:ascii="宋体" w:hAnsi="宋体" w:cs="宋体"/>
                <w:szCs w:val="21"/>
              </w:rPr>
              <w:t>ZB-JS-2025-137</w:t>
            </w:r>
          </w:p>
        </w:tc>
      </w:tr>
      <w:tr w14:paraId="161D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572" w:type="dxa"/>
            <w:vAlign w:val="center"/>
          </w:tcPr>
          <w:p w14:paraId="03D782A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服务估算造价</w:t>
            </w:r>
          </w:p>
        </w:tc>
        <w:tc>
          <w:tcPr>
            <w:tcW w:w="6147" w:type="dxa"/>
            <w:vAlign w:val="center"/>
          </w:tcPr>
          <w:p w14:paraId="2144F72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采购含税限价</w:t>
            </w:r>
            <w:r>
              <w:rPr>
                <w:rFonts w:hint="eastAsia" w:ascii="宋体" w:hAnsi="宋体" w:cs="宋体"/>
                <w:szCs w:val="21"/>
                <w:lang w:val="en-US" w:eastAsia="zh-CN"/>
              </w:rPr>
              <w:t>281.80</w:t>
            </w:r>
            <w:r>
              <w:rPr>
                <w:rFonts w:hint="eastAsia" w:ascii="宋体" w:hAnsi="宋体" w:cs="宋体"/>
                <w:szCs w:val="21"/>
              </w:rPr>
              <w:t>万元，税率6%</w:t>
            </w:r>
          </w:p>
        </w:tc>
      </w:tr>
      <w:tr w14:paraId="072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572" w:type="dxa"/>
            <w:vAlign w:val="center"/>
          </w:tcPr>
          <w:p w14:paraId="779FCA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color w:val="auto"/>
                <w:szCs w:val="21"/>
              </w:rPr>
            </w:pPr>
            <w:r>
              <w:rPr>
                <w:rFonts w:hint="eastAsia" w:ascii="宋体" w:hAnsi="宋体" w:cs="宋体"/>
                <w:color w:val="auto"/>
                <w:szCs w:val="21"/>
              </w:rPr>
              <w:t>招标内容</w:t>
            </w:r>
          </w:p>
        </w:tc>
        <w:tc>
          <w:tcPr>
            <w:tcW w:w="6147" w:type="dxa"/>
            <w:vAlign w:val="center"/>
          </w:tcPr>
          <w:p w14:paraId="6E15675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color w:val="auto"/>
                <w:szCs w:val="21"/>
              </w:rPr>
            </w:pPr>
            <w:r>
              <w:rPr>
                <w:rFonts w:hint="eastAsia" w:ascii="宋体" w:hAnsi="宋体" w:cs="宋体"/>
                <w:color w:val="auto"/>
                <w:szCs w:val="21"/>
              </w:rPr>
              <w:t>本项目为</w:t>
            </w:r>
            <w:r>
              <w:rPr>
                <w:rFonts w:hint="eastAsia" w:ascii="宋体" w:hAnsi="宋体" w:cs="宋体"/>
                <w:color w:val="auto"/>
                <w:szCs w:val="21"/>
                <w:lang w:eastAsia="zh-CN"/>
              </w:rPr>
              <w:t>数智园区运营平台技术开发服务</w:t>
            </w:r>
            <w:r>
              <w:rPr>
                <w:rFonts w:hint="eastAsia" w:ascii="宋体" w:hAnsi="宋体" w:cs="宋体"/>
                <w:color w:val="auto"/>
                <w:szCs w:val="21"/>
              </w:rPr>
              <w:t>项目，包含但不限于数据接入与采集、数据整合与治理、数据存储与管理、数据服务与共享、产业数据采集与分析、产业图谱构建与可视化、项目验收、运维等为完成本项目的所有内容。</w:t>
            </w:r>
          </w:p>
        </w:tc>
      </w:tr>
      <w:tr w14:paraId="1AFA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2572" w:type="dxa"/>
            <w:vAlign w:val="center"/>
          </w:tcPr>
          <w:p w14:paraId="0A37C54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投标人资格要求</w:t>
            </w:r>
          </w:p>
        </w:tc>
        <w:tc>
          <w:tcPr>
            <w:tcW w:w="6147" w:type="dxa"/>
            <w:vAlign w:val="center"/>
          </w:tcPr>
          <w:p w14:paraId="5C4E9BD6">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b/>
                <w:szCs w:val="21"/>
              </w:rPr>
            </w:pPr>
            <w:r>
              <w:rPr>
                <w:rFonts w:hint="eastAsia" w:ascii="宋体" w:hAnsi="宋体" w:cs="宋体"/>
                <w:b/>
                <w:szCs w:val="21"/>
              </w:rPr>
              <w:t>（1）未被“信用中国”网站（www.creditchina.gov.cn）、“中国政府采购网”网站（www.ccgp.gov.cn）列入失信被执行人、重大税收违法案件当事人名单、政府采购严重失信行为记录名单；</w:t>
            </w:r>
          </w:p>
          <w:p w14:paraId="20CC69E6">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b/>
                <w:szCs w:val="21"/>
              </w:rPr>
            </w:pPr>
            <w:r>
              <w:rPr>
                <w:rFonts w:hint="eastAsia" w:ascii="宋体" w:hAnsi="宋体" w:cs="宋体"/>
                <w:b/>
                <w:szCs w:val="21"/>
              </w:rPr>
              <w:t>（2）法定代表人为同一个人的两个及两个以上法人，母公司、全资子公司及其控股公司，不得参加同一标段投标或者未划分标段的同一招标项目投标；</w:t>
            </w:r>
          </w:p>
          <w:p w14:paraId="74EC48CA">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rPr>
            </w:pPr>
            <w:r>
              <w:rPr>
                <w:rFonts w:hint="eastAsia" w:ascii="宋体" w:hAnsi="宋体" w:cs="宋体"/>
                <w:b/>
                <w:szCs w:val="21"/>
              </w:rPr>
              <w:t>（3）近3年内与常州高铁新城投资建设发展有限公司、常高新集团有限公司及旗下所控股子公司无诉讼关系</w:t>
            </w:r>
          </w:p>
        </w:tc>
      </w:tr>
      <w:tr w14:paraId="0CBD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572" w:type="dxa"/>
            <w:vAlign w:val="center"/>
          </w:tcPr>
          <w:p w14:paraId="0295A07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评标办法</w:t>
            </w:r>
          </w:p>
        </w:tc>
        <w:tc>
          <w:tcPr>
            <w:tcW w:w="6147" w:type="dxa"/>
            <w:vAlign w:val="center"/>
          </w:tcPr>
          <w:p w14:paraId="11484A7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综合评分法，详见评标细则</w:t>
            </w:r>
          </w:p>
        </w:tc>
      </w:tr>
      <w:tr w14:paraId="4C3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572" w:type="dxa"/>
            <w:vAlign w:val="center"/>
          </w:tcPr>
          <w:p w14:paraId="2FEC32E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报名时间、方式</w:t>
            </w:r>
          </w:p>
        </w:tc>
        <w:tc>
          <w:tcPr>
            <w:tcW w:w="6147" w:type="dxa"/>
            <w:vAlign w:val="center"/>
          </w:tcPr>
          <w:p w14:paraId="7AA69914">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rPr>
            </w:pPr>
            <w:r>
              <w:rPr>
                <w:rFonts w:hint="eastAsia" w:ascii="宋体" w:hAnsi="宋体" w:cs="宋体"/>
                <w:szCs w:val="21"/>
              </w:rPr>
              <w:t>（1）报名时间：2025年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04</w:t>
            </w:r>
            <w:r>
              <w:rPr>
                <w:rFonts w:hint="eastAsia" w:ascii="宋体" w:hAnsi="宋体" w:cs="宋体"/>
                <w:szCs w:val="21"/>
              </w:rPr>
              <w:t>日至2025年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日，每天上午08：30至11：30，下午13：30至17：00（北京时间，法定节假日除外）</w:t>
            </w:r>
          </w:p>
          <w:p w14:paraId="2672F09A">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rPr>
            </w:pPr>
            <w:r>
              <w:rPr>
                <w:rFonts w:hint="eastAsia" w:ascii="宋体" w:hAnsi="宋体" w:cs="宋体"/>
                <w:szCs w:val="21"/>
              </w:rPr>
              <w:t>（2）报名方式：现场报名或线上报名，报名时需提供的资料：《投标报名表》原件（须按表中要求填写并签字、盖章）（格式详见附件三）</w:t>
            </w:r>
          </w:p>
          <w:p w14:paraId="05D42AAE">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rPr>
            </w:pPr>
            <w:r>
              <w:rPr>
                <w:rFonts w:hint="eastAsia" w:ascii="宋体" w:hAnsi="宋体" w:cs="宋体"/>
                <w:szCs w:val="21"/>
              </w:rPr>
              <w:t>现场报名地址：江苏恒卓工程管理咨询有限公司综合办［常州市北塘河路8号恒生科技园44-2栋4F（一号大门往北一百米）］</w:t>
            </w:r>
          </w:p>
          <w:p w14:paraId="003FB051">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rPr>
            </w:pPr>
            <w:r>
              <w:rPr>
                <w:rFonts w:hint="eastAsia" w:ascii="宋体" w:hAnsi="宋体" w:cs="宋体"/>
                <w:szCs w:val="21"/>
              </w:rPr>
              <w:t>线上领购报名单位须将以上报名资料原件扫描发送至邮箱3225321767@qq.com，代理机构审核后将以邮件形式</w:t>
            </w:r>
            <w:r>
              <w:rPr>
                <w:rFonts w:hint="eastAsia" w:ascii="宋体" w:hAnsi="宋体" w:cs="宋体"/>
                <w:szCs w:val="21"/>
                <w:lang w:val="en-US" w:eastAsia="zh-CN"/>
              </w:rPr>
              <w:t>向报名单位</w:t>
            </w:r>
            <w:r>
              <w:rPr>
                <w:rFonts w:hint="eastAsia" w:ascii="宋体" w:hAnsi="宋体" w:cs="宋体"/>
                <w:szCs w:val="21"/>
              </w:rPr>
              <w:t>发送招标文件；</w:t>
            </w:r>
          </w:p>
        </w:tc>
      </w:tr>
      <w:tr w14:paraId="62E9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2FFA2FC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报名地址</w:t>
            </w:r>
          </w:p>
        </w:tc>
        <w:tc>
          <w:tcPr>
            <w:tcW w:w="6147" w:type="dxa"/>
            <w:vAlign w:val="center"/>
          </w:tcPr>
          <w:p w14:paraId="00DB42F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kern w:val="0"/>
                <w:szCs w:val="21"/>
              </w:rPr>
              <w:t>江苏恒卓工程管理咨询有限公司综合办［常州市北塘河路8号恒生科技园44-2栋4F（一号大门往北一百米）］</w:t>
            </w:r>
          </w:p>
        </w:tc>
      </w:tr>
      <w:tr w14:paraId="58A6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01EF154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开标（投标截止）时间</w:t>
            </w:r>
          </w:p>
        </w:tc>
        <w:tc>
          <w:tcPr>
            <w:tcW w:w="6147" w:type="dxa"/>
            <w:vAlign w:val="center"/>
          </w:tcPr>
          <w:p w14:paraId="03BB116E">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szCs w:val="21"/>
                <w:lang w:val="en-US" w:eastAsia="zh-CN"/>
              </w:rPr>
            </w:pPr>
            <w:r>
              <w:rPr>
                <w:rFonts w:hint="eastAsia" w:ascii="宋体" w:hAnsi="宋体" w:cs="宋体"/>
                <w:szCs w:val="21"/>
              </w:rPr>
              <w:t>2025年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szCs w:val="21"/>
                <w:lang w:val="en-US" w:eastAsia="zh-CN"/>
              </w:rPr>
              <w:t>14时00分</w:t>
            </w:r>
          </w:p>
        </w:tc>
      </w:tr>
      <w:tr w14:paraId="0E91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4C4E032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投标、开标地址</w:t>
            </w:r>
          </w:p>
        </w:tc>
        <w:tc>
          <w:tcPr>
            <w:tcW w:w="6147" w:type="dxa"/>
            <w:vAlign w:val="center"/>
          </w:tcPr>
          <w:p w14:paraId="61791CE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常州市新北区崇义路9号常高新集团513室</w:t>
            </w:r>
          </w:p>
        </w:tc>
      </w:tr>
      <w:tr w14:paraId="0D4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72" w:type="dxa"/>
            <w:vAlign w:val="center"/>
          </w:tcPr>
          <w:p w14:paraId="7CA27FE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联系人、联系电话</w:t>
            </w:r>
          </w:p>
        </w:tc>
        <w:tc>
          <w:tcPr>
            <w:tcW w:w="6147" w:type="dxa"/>
            <w:vAlign w:val="center"/>
          </w:tcPr>
          <w:p w14:paraId="2D3474D6">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招标单位：李工；18896724132；招标代理机构：周工；0519-83999268</w:t>
            </w:r>
          </w:p>
        </w:tc>
      </w:tr>
      <w:tr w14:paraId="655F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572" w:type="dxa"/>
            <w:vAlign w:val="center"/>
          </w:tcPr>
          <w:p w14:paraId="0C1B56D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投诉电话</w:t>
            </w:r>
          </w:p>
        </w:tc>
        <w:tc>
          <w:tcPr>
            <w:tcW w:w="6147" w:type="dxa"/>
            <w:vAlign w:val="center"/>
          </w:tcPr>
          <w:p w14:paraId="4FBA76A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0519-85113061</w:t>
            </w:r>
          </w:p>
        </w:tc>
      </w:tr>
      <w:tr w14:paraId="7E99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72" w:type="dxa"/>
            <w:vAlign w:val="center"/>
          </w:tcPr>
          <w:p w14:paraId="625974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cs="宋体"/>
                <w:szCs w:val="21"/>
              </w:rPr>
            </w:pPr>
            <w:r>
              <w:rPr>
                <w:rFonts w:hint="eastAsia" w:ascii="宋体" w:hAnsi="宋体" w:cs="宋体"/>
                <w:szCs w:val="21"/>
              </w:rPr>
              <w:t>备注</w:t>
            </w:r>
          </w:p>
        </w:tc>
        <w:tc>
          <w:tcPr>
            <w:tcW w:w="6147" w:type="dxa"/>
            <w:vAlign w:val="center"/>
          </w:tcPr>
          <w:p w14:paraId="12F54639">
            <w:pPr>
              <w:keepNext w:val="0"/>
              <w:keepLines w:val="0"/>
              <w:suppressLineNumbers w:val="0"/>
              <w:adjustRightInd w:val="0"/>
              <w:snapToGrid w:val="0"/>
              <w:spacing w:before="0" w:beforeAutospacing="0" w:after="0" w:afterAutospacing="0" w:line="340" w:lineRule="exact"/>
              <w:ind w:left="0" w:right="0"/>
              <w:jc w:val="left"/>
              <w:rPr>
                <w:rFonts w:hint="eastAsia" w:ascii="宋体" w:hAnsi="宋体" w:cs="宋体"/>
                <w:szCs w:val="21"/>
              </w:rPr>
            </w:pPr>
            <w:r>
              <w:rPr>
                <w:rFonts w:hint="eastAsia" w:ascii="宋体" w:hAnsi="宋体" w:cs="宋体"/>
                <w:szCs w:val="21"/>
              </w:rPr>
              <w:t>1、招标代理服务费按 “发改价格（2011）534号文件”的规定下浮50%收取并由中标人承担，中标人应在领取中标通知书时将中标服务费付至招标代理机构。中标服务收费按上述计算方法不足人民币</w:t>
            </w:r>
            <w:r>
              <w:rPr>
                <w:rFonts w:hint="eastAsia" w:ascii="宋体" w:hAnsi="宋体" w:cs="宋体"/>
                <w:szCs w:val="21"/>
                <w:lang w:val="en-US" w:eastAsia="zh-CN"/>
              </w:rPr>
              <w:t>2</w:t>
            </w:r>
            <w:r>
              <w:rPr>
                <w:rFonts w:hint="eastAsia" w:ascii="宋体" w:hAnsi="宋体" w:cs="宋体"/>
                <w:szCs w:val="21"/>
              </w:rPr>
              <w:t>000元的，按人民币</w:t>
            </w:r>
            <w:r>
              <w:rPr>
                <w:rFonts w:hint="eastAsia" w:ascii="宋体" w:hAnsi="宋体" w:cs="宋体"/>
                <w:szCs w:val="21"/>
                <w:lang w:val="en-US" w:eastAsia="zh-CN"/>
              </w:rPr>
              <w:t>2</w:t>
            </w:r>
            <w:r>
              <w:rPr>
                <w:rFonts w:hint="eastAsia" w:ascii="宋体" w:hAnsi="宋体" w:cs="宋体"/>
                <w:szCs w:val="21"/>
              </w:rPr>
              <w:t xml:space="preserve">000元收取。  </w:t>
            </w:r>
          </w:p>
        </w:tc>
      </w:tr>
    </w:tbl>
    <w:p w14:paraId="252A0B3A">
      <w:pPr>
        <w:spacing w:line="500" w:lineRule="exact"/>
        <w:jc w:val="left"/>
        <w:rPr>
          <w:rFonts w:hint="eastAsia" w:ascii="宋体" w:hAnsi="宋体"/>
          <w:b/>
          <w:sz w:val="44"/>
          <w:szCs w:val="44"/>
        </w:rPr>
      </w:pPr>
    </w:p>
    <w:p w14:paraId="0E9F9B20">
      <w:pPr>
        <w:spacing w:line="500" w:lineRule="exact"/>
        <w:jc w:val="center"/>
        <w:rPr>
          <w:rFonts w:hint="eastAsia" w:ascii="宋体" w:hAnsi="宋体"/>
          <w:b/>
          <w:sz w:val="44"/>
          <w:szCs w:val="44"/>
        </w:rPr>
      </w:pPr>
    </w:p>
    <w:p w14:paraId="76582BCD">
      <w:pPr>
        <w:spacing w:line="500" w:lineRule="exact"/>
        <w:ind w:right="21"/>
        <w:jc w:val="center"/>
        <w:rPr>
          <w:rFonts w:hint="eastAsia" w:ascii="宋体" w:hAnsi="宋体"/>
          <w:b/>
          <w:sz w:val="44"/>
          <w:szCs w:val="44"/>
        </w:rPr>
      </w:pPr>
    </w:p>
    <w:p w14:paraId="6F12BD9E">
      <w:pPr>
        <w:spacing w:line="500" w:lineRule="exact"/>
        <w:ind w:right="21"/>
        <w:jc w:val="center"/>
        <w:rPr>
          <w:rFonts w:hint="eastAsia" w:ascii="宋体" w:hAnsi="宋体"/>
          <w:b/>
          <w:sz w:val="44"/>
          <w:szCs w:val="44"/>
        </w:rPr>
      </w:pPr>
    </w:p>
    <w:p w14:paraId="6CD06753">
      <w:pPr>
        <w:spacing w:line="500" w:lineRule="exact"/>
        <w:ind w:right="21"/>
        <w:jc w:val="center"/>
        <w:rPr>
          <w:rFonts w:hint="eastAsia" w:ascii="宋体" w:hAnsi="宋体"/>
          <w:b/>
          <w:sz w:val="44"/>
          <w:szCs w:val="44"/>
        </w:rPr>
      </w:pPr>
    </w:p>
    <w:p w14:paraId="76E8E5F0">
      <w:pPr>
        <w:spacing w:line="500" w:lineRule="exact"/>
        <w:ind w:right="21"/>
        <w:jc w:val="center"/>
        <w:rPr>
          <w:rFonts w:hint="eastAsia" w:ascii="宋体" w:hAnsi="宋体"/>
          <w:b/>
          <w:sz w:val="44"/>
          <w:szCs w:val="44"/>
        </w:rPr>
      </w:pPr>
    </w:p>
    <w:p w14:paraId="44D76B5C">
      <w:pPr>
        <w:spacing w:line="500" w:lineRule="exact"/>
        <w:ind w:right="21"/>
        <w:jc w:val="center"/>
        <w:rPr>
          <w:rFonts w:hint="eastAsia" w:ascii="宋体" w:hAnsi="宋体"/>
          <w:b/>
          <w:sz w:val="44"/>
          <w:szCs w:val="44"/>
        </w:rPr>
      </w:pPr>
    </w:p>
    <w:p w14:paraId="17B2000A">
      <w:pPr>
        <w:spacing w:line="500" w:lineRule="exact"/>
        <w:ind w:right="21"/>
        <w:jc w:val="center"/>
        <w:rPr>
          <w:rFonts w:hint="eastAsia" w:ascii="宋体" w:hAnsi="宋体"/>
          <w:b/>
          <w:sz w:val="44"/>
          <w:szCs w:val="44"/>
        </w:rPr>
      </w:pPr>
    </w:p>
    <w:p w14:paraId="709DE89C">
      <w:pPr>
        <w:spacing w:line="500" w:lineRule="exact"/>
        <w:ind w:right="21"/>
        <w:jc w:val="center"/>
        <w:rPr>
          <w:rFonts w:hint="eastAsia" w:ascii="宋体" w:hAnsi="宋体"/>
          <w:b/>
          <w:sz w:val="44"/>
          <w:szCs w:val="44"/>
        </w:rPr>
      </w:pPr>
    </w:p>
    <w:p w14:paraId="3BD54308">
      <w:pPr>
        <w:spacing w:line="500" w:lineRule="exact"/>
        <w:ind w:right="21"/>
        <w:jc w:val="center"/>
        <w:rPr>
          <w:rFonts w:hint="eastAsia" w:ascii="宋体" w:hAnsi="宋体"/>
          <w:b/>
          <w:sz w:val="44"/>
          <w:szCs w:val="44"/>
        </w:rPr>
      </w:pPr>
    </w:p>
    <w:p w14:paraId="0B635037">
      <w:pPr>
        <w:spacing w:line="500" w:lineRule="exact"/>
        <w:ind w:right="21"/>
        <w:jc w:val="center"/>
        <w:rPr>
          <w:rFonts w:hint="eastAsia" w:ascii="宋体" w:hAnsi="宋体"/>
          <w:b/>
          <w:sz w:val="44"/>
          <w:szCs w:val="44"/>
        </w:rPr>
      </w:pPr>
    </w:p>
    <w:p w14:paraId="11D7A846">
      <w:pPr>
        <w:spacing w:line="500" w:lineRule="exact"/>
        <w:ind w:right="21"/>
        <w:jc w:val="center"/>
        <w:rPr>
          <w:rFonts w:hint="eastAsia" w:ascii="宋体" w:hAnsi="宋体"/>
          <w:b/>
          <w:sz w:val="44"/>
          <w:szCs w:val="44"/>
        </w:rPr>
      </w:pPr>
    </w:p>
    <w:p w14:paraId="4E329212">
      <w:pPr>
        <w:spacing w:line="500" w:lineRule="exact"/>
        <w:ind w:right="21"/>
        <w:jc w:val="center"/>
        <w:rPr>
          <w:rFonts w:hint="eastAsia" w:ascii="宋体" w:hAnsi="宋体"/>
          <w:b/>
          <w:sz w:val="44"/>
          <w:szCs w:val="44"/>
        </w:rPr>
      </w:pPr>
    </w:p>
    <w:p w14:paraId="2E713A30">
      <w:pPr>
        <w:spacing w:line="500" w:lineRule="exact"/>
        <w:ind w:right="21"/>
        <w:jc w:val="center"/>
        <w:rPr>
          <w:rFonts w:hint="eastAsia" w:ascii="宋体" w:hAnsi="宋体"/>
          <w:b/>
          <w:sz w:val="44"/>
          <w:szCs w:val="44"/>
        </w:rPr>
      </w:pPr>
    </w:p>
    <w:p w14:paraId="76F48D0D">
      <w:pPr>
        <w:spacing w:line="500" w:lineRule="exact"/>
        <w:ind w:right="21"/>
        <w:jc w:val="center"/>
        <w:rPr>
          <w:rFonts w:hint="eastAsia" w:ascii="宋体" w:hAnsi="宋体"/>
          <w:b/>
          <w:sz w:val="44"/>
          <w:szCs w:val="44"/>
        </w:rPr>
      </w:pPr>
    </w:p>
    <w:p w14:paraId="29C60077">
      <w:pPr>
        <w:spacing w:line="500" w:lineRule="exact"/>
        <w:ind w:right="21"/>
        <w:jc w:val="center"/>
        <w:rPr>
          <w:rFonts w:hint="eastAsia" w:ascii="宋体" w:hAnsi="宋体"/>
          <w:b/>
          <w:sz w:val="44"/>
          <w:szCs w:val="44"/>
        </w:rPr>
      </w:pPr>
    </w:p>
    <w:p w14:paraId="4B5B085A">
      <w:pPr>
        <w:spacing w:line="500" w:lineRule="exact"/>
        <w:ind w:right="21"/>
        <w:jc w:val="center"/>
        <w:rPr>
          <w:rFonts w:hint="eastAsia" w:ascii="宋体" w:hAnsi="宋体"/>
          <w:b/>
          <w:sz w:val="44"/>
          <w:szCs w:val="44"/>
        </w:rPr>
      </w:pPr>
    </w:p>
    <w:p w14:paraId="2663F4C1">
      <w:pPr>
        <w:spacing w:line="500" w:lineRule="exact"/>
        <w:ind w:right="21"/>
        <w:jc w:val="center"/>
        <w:rPr>
          <w:rFonts w:hint="eastAsia" w:ascii="宋体" w:hAnsi="宋体"/>
          <w:b/>
          <w:sz w:val="44"/>
          <w:szCs w:val="44"/>
        </w:rPr>
      </w:pPr>
    </w:p>
    <w:p w14:paraId="52A3D3F8">
      <w:pPr>
        <w:spacing w:line="500" w:lineRule="exact"/>
        <w:ind w:right="21"/>
        <w:jc w:val="center"/>
        <w:rPr>
          <w:rFonts w:hint="eastAsia" w:ascii="宋体" w:hAnsi="宋体"/>
          <w:b/>
          <w:sz w:val="44"/>
          <w:szCs w:val="44"/>
        </w:rPr>
      </w:pPr>
    </w:p>
    <w:p w14:paraId="7021A1BD">
      <w:pPr>
        <w:spacing w:line="500" w:lineRule="exact"/>
        <w:ind w:right="21"/>
        <w:jc w:val="center"/>
        <w:rPr>
          <w:rFonts w:hint="eastAsia" w:ascii="宋体" w:hAnsi="宋体"/>
          <w:b/>
          <w:sz w:val="44"/>
          <w:szCs w:val="44"/>
        </w:rPr>
      </w:pPr>
    </w:p>
    <w:p w14:paraId="50002620">
      <w:pPr>
        <w:spacing w:line="500" w:lineRule="exact"/>
        <w:ind w:right="21"/>
        <w:jc w:val="center"/>
        <w:rPr>
          <w:rFonts w:hint="eastAsia" w:ascii="宋体" w:hAnsi="宋体"/>
          <w:b/>
          <w:sz w:val="44"/>
          <w:szCs w:val="44"/>
        </w:rPr>
      </w:pPr>
    </w:p>
    <w:p w14:paraId="6CE558AB">
      <w:pPr>
        <w:spacing w:line="500" w:lineRule="exact"/>
        <w:ind w:right="21"/>
        <w:jc w:val="center"/>
        <w:rPr>
          <w:rFonts w:ascii="宋体" w:hAnsi="宋体"/>
          <w:sz w:val="44"/>
          <w:szCs w:val="44"/>
        </w:rPr>
      </w:pPr>
      <w:r>
        <w:rPr>
          <w:rFonts w:hint="eastAsia" w:ascii="宋体" w:hAnsi="宋体"/>
          <w:b/>
          <w:sz w:val="44"/>
          <w:szCs w:val="44"/>
        </w:rPr>
        <w:t>招  标  公  告</w:t>
      </w:r>
      <w:r>
        <w:rPr>
          <w:rFonts w:hint="eastAsia" w:ascii="宋体" w:hAnsi="宋体"/>
          <w:sz w:val="44"/>
          <w:szCs w:val="44"/>
        </w:rPr>
        <w:t>（资格后审）</w:t>
      </w:r>
    </w:p>
    <w:p w14:paraId="573A2DD1">
      <w:pPr>
        <w:pBdr>
          <w:bottom w:val="single" w:color="auto" w:sz="6" w:space="0"/>
        </w:pBdr>
        <w:tabs>
          <w:tab w:val="left" w:pos="540"/>
          <w:tab w:val="left" w:pos="720"/>
          <w:tab w:val="left" w:pos="900"/>
          <w:tab w:val="left" w:pos="1080"/>
        </w:tabs>
        <w:spacing w:before="100" w:beforeAutospacing="1" w:after="100" w:afterAutospacing="1" w:line="500" w:lineRule="exact"/>
        <w:ind w:right="23"/>
        <w:rPr>
          <w:rFonts w:hint="default" w:ascii="宋体" w:hAnsi="宋体" w:eastAsia="宋体"/>
          <w:szCs w:val="21"/>
          <w:lang w:val="en-US" w:eastAsia="zh-CN"/>
        </w:rPr>
      </w:pPr>
      <w:r>
        <w:rPr>
          <w:rFonts w:hint="eastAsia" w:ascii="宋体" w:hAnsi="宋体"/>
          <w:szCs w:val="21"/>
        </w:rPr>
        <w:t xml:space="preserve">                                            　　　　          编号：ZB-JS-2025-</w:t>
      </w:r>
      <w:r>
        <w:rPr>
          <w:rFonts w:hint="eastAsia" w:ascii="宋体" w:hAnsi="宋体"/>
          <w:szCs w:val="21"/>
          <w:lang w:val="en-US" w:eastAsia="zh-CN"/>
        </w:rPr>
        <w:t>137</w:t>
      </w:r>
    </w:p>
    <w:p w14:paraId="77983D0B">
      <w:pPr>
        <w:tabs>
          <w:tab w:val="left" w:pos="540"/>
          <w:tab w:val="left" w:pos="720"/>
          <w:tab w:val="left" w:pos="900"/>
          <w:tab w:val="left" w:pos="1080"/>
        </w:tabs>
        <w:spacing w:line="500" w:lineRule="exact"/>
        <w:ind w:firstLine="420" w:firstLineChars="200"/>
        <w:rPr>
          <w:rFonts w:hint="eastAsia" w:ascii="宋体" w:hAnsi="宋体" w:cs="宋体"/>
          <w:szCs w:val="21"/>
        </w:rPr>
      </w:pPr>
      <w:r>
        <w:rPr>
          <w:rFonts w:hint="eastAsia" w:ascii="宋体" w:hAnsi="宋体" w:cs="宋体"/>
          <w:szCs w:val="21"/>
        </w:rPr>
        <w:t>1、服务名称：</w:t>
      </w:r>
      <w:r>
        <w:rPr>
          <w:rFonts w:hint="eastAsia" w:ascii="宋体" w:hAnsi="宋体" w:cs="宋体"/>
          <w:szCs w:val="21"/>
          <w:lang w:eastAsia="zh-CN"/>
        </w:rPr>
        <w:t>数智园区运营平台技术开发服务</w:t>
      </w:r>
      <w:r>
        <w:rPr>
          <w:rFonts w:hint="eastAsia" w:ascii="宋体" w:hAnsi="宋体" w:cs="宋体"/>
          <w:szCs w:val="21"/>
        </w:rPr>
        <w:t xml:space="preserve">项目 </w:t>
      </w:r>
    </w:p>
    <w:p w14:paraId="2549D666">
      <w:pPr>
        <w:tabs>
          <w:tab w:val="left" w:pos="540"/>
          <w:tab w:val="left" w:pos="720"/>
          <w:tab w:val="left" w:pos="900"/>
          <w:tab w:val="left" w:pos="1080"/>
        </w:tabs>
        <w:spacing w:line="500" w:lineRule="exact"/>
        <w:ind w:firstLine="420" w:firstLineChars="200"/>
        <w:rPr>
          <w:rFonts w:hint="eastAsia" w:ascii="宋体" w:hAnsi="宋体" w:cs="宋体"/>
          <w:szCs w:val="21"/>
        </w:rPr>
      </w:pPr>
      <w:r>
        <w:rPr>
          <w:rFonts w:hint="eastAsia" w:ascii="宋体" w:hAnsi="宋体" w:cs="宋体"/>
          <w:szCs w:val="21"/>
        </w:rPr>
        <w:t>2、服务概况：</w:t>
      </w:r>
    </w:p>
    <w:p w14:paraId="15A59FB9">
      <w:pPr>
        <w:tabs>
          <w:tab w:val="left" w:pos="540"/>
          <w:tab w:val="left" w:pos="720"/>
          <w:tab w:val="left" w:pos="900"/>
          <w:tab w:val="left" w:pos="1080"/>
        </w:tabs>
        <w:spacing w:line="500" w:lineRule="exact"/>
        <w:ind w:firstLine="420" w:firstLineChars="200"/>
        <w:rPr>
          <w:rFonts w:hint="eastAsia" w:ascii="宋体" w:hAnsi="宋体" w:cs="宋体"/>
          <w:color w:val="auto"/>
          <w:szCs w:val="21"/>
        </w:rPr>
      </w:pPr>
      <w:r>
        <w:rPr>
          <w:rFonts w:hint="eastAsia" w:ascii="宋体" w:hAnsi="宋体" w:cs="宋体"/>
          <w:szCs w:val="21"/>
        </w:rPr>
        <w:t>（1）服</w:t>
      </w:r>
      <w:r>
        <w:rPr>
          <w:rFonts w:hint="eastAsia" w:ascii="宋体" w:hAnsi="宋体" w:cs="宋体"/>
          <w:color w:val="auto"/>
          <w:szCs w:val="21"/>
        </w:rPr>
        <w:t xml:space="preserve">务地点：常州市新北区 </w:t>
      </w:r>
    </w:p>
    <w:p w14:paraId="72B3C0EF">
      <w:pPr>
        <w:tabs>
          <w:tab w:val="left" w:pos="540"/>
          <w:tab w:val="left" w:pos="720"/>
          <w:tab w:val="left" w:pos="900"/>
          <w:tab w:val="left" w:pos="1080"/>
        </w:tabs>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（2）计划服务时间：合同签订后120日历天（含30天试运行） </w:t>
      </w:r>
    </w:p>
    <w:p w14:paraId="32B83A40">
      <w:pPr>
        <w:tabs>
          <w:tab w:val="left" w:pos="540"/>
          <w:tab w:val="left" w:pos="720"/>
          <w:tab w:val="left" w:pos="900"/>
          <w:tab w:val="left" w:pos="1080"/>
        </w:tabs>
        <w:spacing w:line="500" w:lineRule="exact"/>
        <w:ind w:firstLine="420" w:firstLineChars="200"/>
        <w:rPr>
          <w:rFonts w:hint="eastAsia" w:ascii="宋体" w:hAnsi="宋体" w:cs="宋体"/>
          <w:color w:val="auto"/>
          <w:szCs w:val="21"/>
          <w:u w:val="single"/>
        </w:rPr>
      </w:pPr>
      <w:r>
        <w:rPr>
          <w:rFonts w:hint="eastAsia" w:ascii="宋体" w:hAnsi="宋体" w:cs="宋体"/>
          <w:color w:val="auto"/>
          <w:szCs w:val="21"/>
        </w:rPr>
        <w:t>（3）招标控制价：采购含税限价</w:t>
      </w:r>
      <w:r>
        <w:rPr>
          <w:rFonts w:hint="eastAsia" w:ascii="宋体" w:hAnsi="宋体" w:cs="宋体"/>
          <w:color w:val="auto"/>
          <w:szCs w:val="21"/>
          <w:lang w:val="en-US" w:eastAsia="zh-CN"/>
        </w:rPr>
        <w:t>281.80万</w:t>
      </w:r>
      <w:r>
        <w:rPr>
          <w:rFonts w:hint="eastAsia" w:ascii="宋体" w:hAnsi="宋体" w:cs="宋体"/>
          <w:color w:val="auto"/>
          <w:szCs w:val="21"/>
        </w:rPr>
        <w:t>元，税率6%。</w:t>
      </w:r>
    </w:p>
    <w:p w14:paraId="69F400EC">
      <w:pPr>
        <w:tabs>
          <w:tab w:val="left" w:pos="540"/>
          <w:tab w:val="left" w:pos="720"/>
          <w:tab w:val="left" w:pos="900"/>
          <w:tab w:val="left" w:pos="1080"/>
        </w:tabs>
        <w:spacing w:line="500" w:lineRule="exact"/>
        <w:ind w:firstLine="420" w:firstLineChars="200"/>
        <w:rPr>
          <w:rFonts w:hint="eastAsia" w:ascii="宋体" w:hAnsi="宋体" w:cs="宋体"/>
          <w:color w:val="auto"/>
          <w:szCs w:val="21"/>
          <w:u w:val="single"/>
        </w:rPr>
      </w:pPr>
      <w:r>
        <w:rPr>
          <w:rFonts w:hint="eastAsia" w:ascii="宋体" w:hAnsi="宋体" w:cs="宋体"/>
          <w:color w:val="auto"/>
          <w:szCs w:val="21"/>
        </w:rPr>
        <w:t>（4）服务内容：本项目为</w:t>
      </w:r>
      <w:r>
        <w:rPr>
          <w:rFonts w:hint="eastAsia" w:ascii="宋体" w:hAnsi="宋体" w:cs="宋体"/>
          <w:color w:val="auto"/>
          <w:szCs w:val="21"/>
          <w:lang w:eastAsia="zh-CN"/>
        </w:rPr>
        <w:t>数智园区运营平台技术开发服务</w:t>
      </w:r>
      <w:r>
        <w:rPr>
          <w:rFonts w:hint="eastAsia" w:ascii="宋体" w:hAnsi="宋体" w:cs="宋体"/>
          <w:color w:val="auto"/>
          <w:szCs w:val="21"/>
        </w:rPr>
        <w:t xml:space="preserve">项目，包含但不限于数据接入与采集、数据整合与治理、数据存储与管理、数据服务与共享、产业数据采集与分析、产业图谱构建与可视化、项目验收、运维等为完成本项目的所有内容。 </w:t>
      </w:r>
    </w:p>
    <w:p w14:paraId="2647DFF6">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3、报名企业须满足以下条件：</w:t>
      </w:r>
    </w:p>
    <w:p w14:paraId="47E1431E">
      <w:pPr>
        <w:widowControl/>
        <w:spacing w:line="500" w:lineRule="exact"/>
        <w:ind w:firstLine="420" w:firstLineChars="200"/>
        <w:jc w:val="left"/>
        <w:rPr>
          <w:rFonts w:hint="eastAsia" w:ascii="宋体" w:hAnsi="宋体" w:cs="宋体"/>
          <w:szCs w:val="21"/>
        </w:rPr>
      </w:pPr>
      <w:r>
        <w:rPr>
          <w:rFonts w:hint="eastAsia" w:ascii="宋体" w:hAnsi="宋体" w:cs="宋体"/>
          <w:szCs w:val="21"/>
        </w:rPr>
        <w:t>（1）必须是独立法人资格；</w:t>
      </w:r>
    </w:p>
    <w:p w14:paraId="4AEFA99F">
      <w:pPr>
        <w:pStyle w:val="15"/>
        <w:spacing w:line="500" w:lineRule="exact"/>
        <w:ind w:firstLine="420" w:firstLineChars="200"/>
        <w:rPr>
          <w:rFonts w:ascii="宋体" w:hAnsi="宋体" w:cs="宋体"/>
          <w:sz w:val="21"/>
          <w:szCs w:val="21"/>
          <w:u w:val="single"/>
          <w:lang w:eastAsia="zh-CN"/>
        </w:rPr>
      </w:pPr>
      <w:r>
        <w:rPr>
          <w:rFonts w:hint="eastAsia" w:ascii="宋体" w:hAnsi="宋体" w:cs="宋体"/>
          <w:kern w:val="2"/>
          <w:sz w:val="21"/>
          <w:szCs w:val="21"/>
          <w:lang w:eastAsia="zh-CN" w:bidi="ar-SA"/>
        </w:rPr>
        <w:t>（2）</w:t>
      </w:r>
      <w:r>
        <w:rPr>
          <w:rFonts w:hint="eastAsia" w:ascii="宋体" w:hAnsi="宋体" w:cs="宋体"/>
          <w:sz w:val="21"/>
          <w:szCs w:val="21"/>
          <w:lang w:eastAsia="zh-CN"/>
        </w:rPr>
        <w:t>报名单位资质类别及等级： /</w:t>
      </w:r>
    </w:p>
    <w:p w14:paraId="77515796">
      <w:pPr>
        <w:pStyle w:val="15"/>
        <w:spacing w:line="500" w:lineRule="exact"/>
        <w:ind w:firstLine="420" w:firstLineChars="200"/>
        <w:rPr>
          <w:rFonts w:hint="eastAsia" w:ascii="宋体" w:hAnsi="宋体" w:cs="宋体"/>
          <w:sz w:val="21"/>
          <w:szCs w:val="21"/>
          <w:lang w:eastAsia="zh-CN"/>
        </w:rPr>
      </w:pPr>
      <w:r>
        <w:rPr>
          <w:rFonts w:hint="eastAsia" w:ascii="宋体" w:hAnsi="宋体" w:cs="宋体"/>
          <w:kern w:val="2"/>
          <w:sz w:val="21"/>
          <w:szCs w:val="21"/>
          <w:lang w:eastAsia="zh-CN" w:bidi="ar-SA"/>
        </w:rPr>
        <w:t>（3）</w:t>
      </w:r>
      <w:r>
        <w:rPr>
          <w:rFonts w:hint="eastAsia" w:ascii="宋体" w:hAnsi="宋体" w:cs="宋体"/>
          <w:sz w:val="21"/>
          <w:szCs w:val="21"/>
          <w:lang w:eastAsia="zh-CN"/>
        </w:rPr>
        <w:t>投标项目负责人要求： /</w:t>
      </w:r>
    </w:p>
    <w:p w14:paraId="3D605250">
      <w:pPr>
        <w:widowControl/>
        <w:spacing w:line="500" w:lineRule="exact"/>
        <w:ind w:firstLine="420" w:firstLineChars="200"/>
        <w:jc w:val="left"/>
        <w:rPr>
          <w:rFonts w:hint="eastAsia" w:ascii="宋体" w:hAnsi="宋体" w:cs="宋体"/>
          <w:szCs w:val="21"/>
        </w:rPr>
      </w:pPr>
      <w:r>
        <w:rPr>
          <w:rFonts w:hint="eastAsia" w:ascii="宋体" w:hAnsi="宋体" w:cs="宋体"/>
          <w:szCs w:val="21"/>
        </w:rPr>
        <w:t>4、其他报名条件：</w:t>
      </w:r>
    </w:p>
    <w:p w14:paraId="49F86283">
      <w:pPr>
        <w:widowControl/>
        <w:spacing w:line="440" w:lineRule="exact"/>
        <w:ind w:firstLine="422" w:firstLineChars="200"/>
        <w:jc w:val="left"/>
        <w:rPr>
          <w:rFonts w:hint="default" w:ascii="宋体" w:hAnsi="宋体" w:eastAsia="宋体" w:cs="宋体"/>
          <w:b/>
          <w:bCs/>
          <w:color w:val="auto"/>
          <w:szCs w:val="21"/>
          <w:lang w:val="en-US" w:eastAsia="zh-CN"/>
        </w:rPr>
      </w:pPr>
      <w:r>
        <w:rPr>
          <w:rFonts w:hint="eastAsia" w:ascii="宋体" w:hAnsi="宋体" w:eastAsia="宋体" w:cs="宋体"/>
          <w:b/>
          <w:bCs/>
          <w:color w:val="auto"/>
          <w:szCs w:val="21"/>
        </w:rPr>
        <w:t>（1）</w:t>
      </w:r>
      <w:r>
        <w:rPr>
          <w:rFonts w:hint="eastAsia" w:ascii="宋体" w:hAnsi="宋体" w:eastAsia="宋体" w:cs="宋体"/>
          <w:b/>
          <w:bCs/>
          <w:color w:val="auto"/>
          <w:szCs w:val="21"/>
          <w:lang w:val="en-US" w:eastAsia="zh-CN"/>
        </w:rPr>
        <w:t>报名时间：2025年</w:t>
      </w:r>
      <w:r>
        <w:rPr>
          <w:rFonts w:hint="eastAsia" w:ascii="宋体" w:hAnsi="宋体" w:cs="宋体"/>
          <w:b/>
          <w:bCs/>
          <w:color w:val="auto"/>
          <w:szCs w:val="21"/>
          <w:lang w:val="en-US" w:eastAsia="zh-CN"/>
        </w:rPr>
        <w:t>11</w:t>
      </w:r>
      <w:r>
        <w:rPr>
          <w:rFonts w:hint="eastAsia" w:ascii="宋体" w:hAnsi="宋体" w:eastAsia="宋体" w:cs="宋体"/>
          <w:b/>
          <w:bCs/>
          <w:color w:val="auto"/>
          <w:szCs w:val="21"/>
          <w:lang w:val="en-US" w:eastAsia="zh-CN"/>
        </w:rPr>
        <w:t>月</w:t>
      </w:r>
      <w:r>
        <w:rPr>
          <w:rFonts w:hint="eastAsia" w:ascii="宋体" w:hAnsi="宋体" w:cs="宋体"/>
          <w:b/>
          <w:bCs/>
          <w:color w:val="auto"/>
          <w:szCs w:val="21"/>
          <w:lang w:val="en-US" w:eastAsia="zh-CN"/>
        </w:rPr>
        <w:t>04</w:t>
      </w:r>
      <w:r>
        <w:rPr>
          <w:rFonts w:hint="eastAsia" w:ascii="宋体" w:hAnsi="宋体" w:eastAsia="宋体" w:cs="宋体"/>
          <w:b/>
          <w:bCs/>
          <w:color w:val="auto"/>
          <w:szCs w:val="21"/>
          <w:lang w:val="en-US" w:eastAsia="zh-CN"/>
        </w:rPr>
        <w:t>日至2025年</w:t>
      </w:r>
      <w:r>
        <w:rPr>
          <w:rFonts w:hint="eastAsia" w:ascii="宋体" w:hAnsi="宋体" w:cs="宋体"/>
          <w:b/>
          <w:bCs/>
          <w:color w:val="auto"/>
          <w:szCs w:val="21"/>
          <w:lang w:val="en-US" w:eastAsia="zh-CN"/>
        </w:rPr>
        <w:t>11</w:t>
      </w:r>
      <w:r>
        <w:rPr>
          <w:rFonts w:hint="eastAsia" w:ascii="宋体" w:hAnsi="宋体" w:eastAsia="宋体" w:cs="宋体"/>
          <w:b/>
          <w:bCs/>
          <w:color w:val="auto"/>
          <w:szCs w:val="21"/>
          <w:lang w:val="en-US" w:eastAsia="zh-CN"/>
        </w:rPr>
        <w:t>月</w:t>
      </w:r>
      <w:r>
        <w:rPr>
          <w:rFonts w:hint="eastAsia" w:ascii="宋体" w:hAnsi="宋体" w:cs="宋体"/>
          <w:b/>
          <w:bCs/>
          <w:color w:val="auto"/>
          <w:szCs w:val="21"/>
          <w:lang w:val="en-US" w:eastAsia="zh-CN"/>
        </w:rPr>
        <w:t>11</w:t>
      </w:r>
      <w:r>
        <w:rPr>
          <w:rFonts w:hint="eastAsia" w:ascii="宋体" w:hAnsi="宋体" w:eastAsia="宋体" w:cs="宋体"/>
          <w:b/>
          <w:bCs/>
          <w:color w:val="auto"/>
          <w:szCs w:val="21"/>
          <w:lang w:val="en-US" w:eastAsia="zh-CN"/>
        </w:rPr>
        <w:t>日，每天上午08：30至11：30，下午13：30至17：00（北京时间，法定节假日除外）</w:t>
      </w:r>
    </w:p>
    <w:p w14:paraId="5C394F56">
      <w:pPr>
        <w:widowControl/>
        <w:spacing w:line="44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报名方式：现场报名或线上报名，报名时需提供的资料：《投标报名表》原件（须按表中要求填写并签字、盖章）（格式详见附件三）</w:t>
      </w:r>
    </w:p>
    <w:p w14:paraId="55FFD3DA">
      <w:pPr>
        <w:widowControl/>
        <w:spacing w:line="44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现场报名地址：江苏恒卓工程管理咨询有限公司综合办［常州市北塘河路8号恒生科技园44-2栋4F（一号大门往北一百米）］</w:t>
      </w:r>
    </w:p>
    <w:p w14:paraId="3554D45B">
      <w:pPr>
        <w:widowControl/>
        <w:spacing w:line="500" w:lineRule="exact"/>
        <w:ind w:firstLine="420" w:firstLineChars="200"/>
        <w:jc w:val="left"/>
        <w:rPr>
          <w:rFonts w:hint="eastAsia" w:ascii="宋体" w:hAnsi="宋体" w:cs="宋体"/>
          <w:bCs/>
          <w:szCs w:val="21"/>
        </w:rPr>
      </w:pPr>
      <w:r>
        <w:rPr>
          <w:rFonts w:hint="eastAsia" w:ascii="宋体" w:hAnsi="宋体" w:eastAsia="宋体" w:cs="宋体"/>
          <w:color w:val="auto"/>
          <w:szCs w:val="21"/>
        </w:rPr>
        <w:t>线上领购报名单位须将以上报名资料原件扫描发送至邮箱3225321767@qq.com，代理机构审核后将以邮件形式</w:t>
      </w:r>
      <w:r>
        <w:rPr>
          <w:rFonts w:hint="eastAsia" w:ascii="宋体" w:hAnsi="宋体" w:cs="宋体"/>
          <w:szCs w:val="21"/>
          <w:lang w:val="en-US" w:eastAsia="zh-CN"/>
        </w:rPr>
        <w:t>向报名单位</w:t>
      </w:r>
      <w:r>
        <w:rPr>
          <w:rFonts w:hint="eastAsia" w:ascii="宋体" w:hAnsi="宋体" w:eastAsia="宋体" w:cs="宋体"/>
          <w:color w:val="auto"/>
          <w:szCs w:val="21"/>
        </w:rPr>
        <w:t>发送招标文件；</w:t>
      </w:r>
    </w:p>
    <w:p w14:paraId="77D604A9">
      <w:pPr>
        <w:widowControl/>
        <w:spacing w:line="500" w:lineRule="exact"/>
        <w:ind w:firstLine="420" w:firstLineChars="200"/>
        <w:jc w:val="left"/>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3</w:t>
      </w:r>
      <w:r>
        <w:rPr>
          <w:rFonts w:hint="eastAsia" w:ascii="宋体" w:hAnsi="宋体" w:cs="宋体"/>
          <w:bCs/>
          <w:szCs w:val="21"/>
        </w:rPr>
        <w:t>）本次招标投标保证金为：</w:t>
      </w:r>
      <w:r>
        <w:rPr>
          <w:rFonts w:hint="eastAsia" w:ascii="宋体" w:hAnsi="宋体" w:cs="宋体"/>
          <w:b/>
          <w:bCs w:val="0"/>
          <w:szCs w:val="21"/>
        </w:rPr>
        <w:t>人民币</w:t>
      </w:r>
      <w:r>
        <w:rPr>
          <w:rFonts w:hint="eastAsia" w:ascii="宋体" w:hAnsi="宋体" w:cs="宋体"/>
          <w:b/>
          <w:bCs w:val="0"/>
          <w:szCs w:val="21"/>
          <w:highlight w:val="none"/>
          <w:lang w:val="en-US" w:eastAsia="zh-CN"/>
        </w:rPr>
        <w:t>贰万</w:t>
      </w:r>
      <w:r>
        <w:rPr>
          <w:rFonts w:hint="eastAsia" w:ascii="宋体" w:hAnsi="宋体" w:cs="宋体"/>
          <w:b/>
          <w:bCs w:val="0"/>
          <w:szCs w:val="21"/>
          <w:highlight w:val="none"/>
        </w:rPr>
        <w:t>元整（</w:t>
      </w:r>
      <w:r>
        <w:rPr>
          <w:rFonts w:hint="eastAsia" w:ascii="宋体" w:hAnsi="宋体" w:cs="宋体"/>
          <w:b/>
          <w:bCs w:val="0"/>
          <w:szCs w:val="21"/>
        </w:rPr>
        <w:t>投标保证金于投标截止时间前截止）</w:t>
      </w:r>
      <w:r>
        <w:rPr>
          <w:rFonts w:hint="eastAsia" w:ascii="宋体" w:hAnsi="宋体" w:cs="宋体"/>
          <w:bCs/>
          <w:szCs w:val="21"/>
        </w:rPr>
        <w:t>，投标保证金缴纳详见附件二；</w:t>
      </w:r>
      <w:bookmarkStart w:id="0" w:name="OLE_LINK1"/>
      <w:bookmarkStart w:id="1" w:name="OLE_LINK2"/>
    </w:p>
    <w:bookmarkEnd w:id="0"/>
    <w:bookmarkEnd w:id="1"/>
    <w:p w14:paraId="10F4B8CF">
      <w:pPr>
        <w:widowControl/>
        <w:spacing w:line="500" w:lineRule="exact"/>
        <w:ind w:firstLine="420" w:firstLineChars="200"/>
        <w:jc w:val="left"/>
        <w:rPr>
          <w:rFonts w:hint="eastAsia" w:ascii="宋体" w:hAnsi="宋体" w:cs="宋体"/>
          <w:bCs/>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bCs/>
          <w:szCs w:val="21"/>
        </w:rPr>
        <w:t>若投标报名单位少于3家，则重新发布招标公告；</w:t>
      </w:r>
    </w:p>
    <w:p w14:paraId="0F03046A">
      <w:pPr>
        <w:widowControl/>
        <w:spacing w:line="500" w:lineRule="exact"/>
        <w:ind w:firstLine="420" w:firstLineChars="200"/>
        <w:jc w:val="left"/>
        <w:rPr>
          <w:rFonts w:hint="eastAsia" w:ascii="宋体" w:hAnsi="宋体" w:cs="宋体"/>
          <w:bCs/>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bCs/>
          <w:szCs w:val="21"/>
        </w:rPr>
        <w:t>本次招标不接受联合体投标；</w:t>
      </w:r>
    </w:p>
    <w:p w14:paraId="69DDBED4">
      <w:pPr>
        <w:widowControl/>
        <w:spacing w:line="500" w:lineRule="exact"/>
        <w:ind w:firstLine="420" w:firstLineChars="200"/>
        <w:jc w:val="left"/>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6</w:t>
      </w:r>
      <w:r>
        <w:rPr>
          <w:rFonts w:hint="eastAsia" w:ascii="宋体" w:hAnsi="宋体" w:cs="宋体"/>
          <w:bCs/>
          <w:szCs w:val="21"/>
        </w:rPr>
        <w:t>）法定代表人为同一个人的两个及两个以上法人，母公司、全资子公司及其控股公司，</w:t>
      </w:r>
      <w:r>
        <w:rPr>
          <w:rFonts w:hint="eastAsia" w:ascii="宋体" w:hAnsi="宋体"/>
        </w:rPr>
        <w:t>不得参加同一标段投标或者未划分标段的同一招标项目投标</w:t>
      </w:r>
      <w:r>
        <w:rPr>
          <w:rFonts w:hint="eastAsia" w:ascii="宋体" w:hAnsi="宋体" w:cs="宋体"/>
          <w:bCs/>
          <w:szCs w:val="21"/>
        </w:rPr>
        <w:t>；</w:t>
      </w:r>
    </w:p>
    <w:p w14:paraId="7AEBF6F0">
      <w:pPr>
        <w:widowControl/>
        <w:spacing w:line="500" w:lineRule="exact"/>
        <w:ind w:firstLine="420" w:firstLineChars="200"/>
        <w:jc w:val="left"/>
        <w:rPr>
          <w:rFonts w:hint="eastAsia" w:ascii="宋体" w:hAnsi="宋体" w:cs="宋体"/>
          <w:bCs/>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bCs/>
          <w:szCs w:val="21"/>
        </w:rPr>
        <w:t>近3年内与常州高铁新城投资建设发展有限公司、常高新集团有限公司及旗下所控股子公司无诉讼关系</w:t>
      </w:r>
      <w:r>
        <w:rPr>
          <w:rFonts w:hint="eastAsia" w:ascii="宋体" w:hAnsi="宋体" w:cs="宋体"/>
          <w:b/>
          <w:bCs/>
          <w:szCs w:val="21"/>
        </w:rPr>
        <w:t>；</w:t>
      </w:r>
    </w:p>
    <w:p w14:paraId="19E0A828">
      <w:pPr>
        <w:widowControl/>
        <w:spacing w:line="500" w:lineRule="exact"/>
        <w:ind w:firstLine="420" w:firstLineChars="200"/>
        <w:jc w:val="left"/>
        <w:rPr>
          <w:rFonts w:hint="eastAsia" w:ascii="宋体" w:hAnsi="宋体" w:cs="宋体"/>
          <w:bCs/>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bCs/>
          <w:szCs w:val="21"/>
        </w:rPr>
        <w:t>严禁伪造虚假文件、原件和围标、串标等违法行为，一旦发现将依法严惩；</w:t>
      </w:r>
    </w:p>
    <w:p w14:paraId="0742003C">
      <w:pPr>
        <w:widowControl/>
        <w:wordWrap w:val="0"/>
        <w:spacing w:line="500" w:lineRule="exact"/>
        <w:ind w:firstLine="420" w:firstLineChars="200"/>
        <w:jc w:val="left"/>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9</w:t>
      </w:r>
      <w:r>
        <w:rPr>
          <w:rFonts w:hint="eastAsia" w:ascii="宋体" w:hAnsi="宋体" w:cs="宋体"/>
          <w:bCs/>
          <w:szCs w:val="21"/>
        </w:rPr>
        <w:t>）</w:t>
      </w:r>
      <w:r>
        <w:rPr>
          <w:rFonts w:hint="eastAsia" w:ascii="宋体" w:hAnsi="宋体" w:cs="宋体"/>
          <w:szCs w:val="21"/>
        </w:rPr>
        <w:t>未被“信用中国”网站（www.creditchina.gov.cn）、信用江苏(</w:t>
      </w:r>
      <w:r>
        <w:fldChar w:fldCharType="begin"/>
      </w:r>
      <w:r>
        <w:instrText xml:space="preserve"> HYPERLINK "http://credit.jiangsu.gov.cn/" </w:instrText>
      </w:r>
      <w:r>
        <w:fldChar w:fldCharType="separate"/>
      </w:r>
      <w:r>
        <w:rPr>
          <w:rFonts w:hint="eastAsia" w:ascii="宋体" w:hAnsi="宋体" w:cs="宋体"/>
          <w:szCs w:val="21"/>
        </w:rPr>
        <w:t>http://credit.jiangsu.gov.cn/</w:t>
      </w:r>
      <w:r>
        <w:rPr>
          <w:rFonts w:hint="eastAsia" w:ascii="宋体" w:hAnsi="宋体" w:cs="宋体"/>
          <w:szCs w:val="21"/>
        </w:rPr>
        <w:fldChar w:fldCharType="end"/>
      </w:r>
      <w:r>
        <w:rPr>
          <w:rFonts w:hint="eastAsia" w:ascii="宋体" w:hAnsi="宋体" w:cs="宋体"/>
          <w:szCs w:val="21"/>
        </w:rPr>
        <w:t>)列入失信被执行人、重大税收违法案件当事人名单、政府采购严重失信行为记录名单。</w:t>
      </w:r>
    </w:p>
    <w:p w14:paraId="1AA61FCC">
      <w:pPr>
        <w:pStyle w:val="15"/>
        <w:spacing w:line="500" w:lineRule="exact"/>
        <w:ind w:firstLine="420" w:firstLineChars="200"/>
        <w:rPr>
          <w:rFonts w:hint="eastAsia" w:ascii="宋体" w:hAnsi="宋体" w:cs="宋体"/>
          <w:kern w:val="2"/>
          <w:sz w:val="21"/>
          <w:szCs w:val="21"/>
          <w:lang w:eastAsia="zh-CN" w:bidi="ar-SA"/>
        </w:rPr>
      </w:pPr>
      <w:r>
        <w:rPr>
          <w:rFonts w:hint="eastAsia" w:ascii="宋体" w:hAnsi="宋体" w:cs="宋体"/>
          <w:kern w:val="2"/>
          <w:sz w:val="21"/>
          <w:szCs w:val="21"/>
          <w:lang w:eastAsia="zh-CN" w:bidi="ar-SA"/>
        </w:rPr>
        <w:t>5、资格审查需提供的资料</w:t>
      </w:r>
    </w:p>
    <w:p w14:paraId="2045A0D0">
      <w:pPr>
        <w:pStyle w:val="18"/>
        <w:adjustRightInd w:val="0"/>
        <w:snapToGrid w:val="0"/>
        <w:spacing w:line="500" w:lineRule="exact"/>
        <w:ind w:firstLine="420" w:firstLineChars="200"/>
        <w:rPr>
          <w:rFonts w:hint="eastAsia" w:ascii="宋体" w:hAnsi="宋体" w:cs="宋体"/>
        </w:rPr>
      </w:pPr>
      <w:r>
        <w:rPr>
          <w:rFonts w:hint="eastAsia" w:ascii="宋体" w:hAnsi="宋体" w:cs="宋体"/>
        </w:rPr>
        <w:t>（1）企业营业执照（副本）；</w:t>
      </w:r>
    </w:p>
    <w:p w14:paraId="0790F1E8">
      <w:pPr>
        <w:pStyle w:val="18"/>
        <w:adjustRightInd w:val="0"/>
        <w:snapToGrid w:val="0"/>
        <w:spacing w:line="500" w:lineRule="exact"/>
        <w:ind w:firstLine="420" w:firstLineChars="200"/>
        <w:rPr>
          <w:rFonts w:hint="eastAsia" w:ascii="宋体" w:hAnsi="宋体" w:cs="宋体"/>
        </w:rPr>
      </w:pPr>
      <w:r>
        <w:rPr>
          <w:rFonts w:hint="eastAsia" w:ascii="宋体" w:hAnsi="宋体" w:cs="宋体"/>
        </w:rPr>
        <w:t>（2）加盖公章的投标保证金缴纳凭证原件；</w:t>
      </w:r>
    </w:p>
    <w:p w14:paraId="67F865E5">
      <w:pPr>
        <w:pStyle w:val="18"/>
        <w:adjustRightInd w:val="0"/>
        <w:snapToGrid w:val="0"/>
        <w:spacing w:line="500" w:lineRule="exact"/>
        <w:ind w:firstLine="420" w:firstLineChars="200"/>
        <w:rPr>
          <w:rFonts w:hint="eastAsia" w:ascii="宋体" w:hAnsi="宋体" w:cs="宋体"/>
        </w:rPr>
      </w:pPr>
      <w:r>
        <w:rPr>
          <w:rFonts w:hint="eastAsia" w:ascii="宋体" w:hAnsi="宋体" w:cs="宋体"/>
        </w:rPr>
        <w:t>（3）企业法定代表人身份证明其委托人代理人身份证明、企业法定代表人授权委托书 （企业法定代表人办理招投标事宜可不提供授权委托书）；</w:t>
      </w:r>
    </w:p>
    <w:p w14:paraId="1B314DB1">
      <w:pPr>
        <w:pStyle w:val="18"/>
        <w:adjustRightInd w:val="0"/>
        <w:snapToGrid w:val="0"/>
        <w:spacing w:line="500" w:lineRule="exact"/>
        <w:ind w:firstLine="420" w:firstLineChars="200"/>
        <w:rPr>
          <w:rFonts w:hint="eastAsia" w:ascii="宋体" w:hAnsi="宋体"/>
          <w:b/>
          <w:color w:val="auto"/>
          <w:szCs w:val="21"/>
        </w:rPr>
      </w:pPr>
      <w:r>
        <w:rPr>
          <w:rFonts w:hint="eastAsia" w:ascii="宋体" w:hAnsi="宋体" w:cs="宋体"/>
        </w:rPr>
        <w:t>（4）投标委托代理人须提供社保</w:t>
      </w:r>
      <w:r>
        <w:rPr>
          <w:rFonts w:hint="eastAsia" w:ascii="宋体" w:hAnsi="宋体" w:cs="宋体"/>
          <w:color w:val="auto"/>
        </w:rPr>
        <w:t>机构出具的投标单位为其缴纳社会基本养老保险的缴纳凭证原件（加盖社保中心章或社保中心参保缴费证明电子专用章，非社保手册），缴纳时间为</w:t>
      </w:r>
      <w:r>
        <w:rPr>
          <w:rFonts w:hint="eastAsia" w:ascii="宋体" w:hAnsi="宋体" w:cs="宋体"/>
          <w:color w:val="auto"/>
          <w:lang w:val="en-US" w:eastAsia="zh-CN"/>
        </w:rPr>
        <w:t>近半年内（自本项目招标公告发布之日起往前推算）任意一个月</w:t>
      </w:r>
      <w:r>
        <w:rPr>
          <w:rFonts w:hint="eastAsia" w:ascii="宋体" w:hAnsi="宋体" w:cs="宋体"/>
          <w:color w:val="auto"/>
        </w:rPr>
        <w:t>；</w:t>
      </w:r>
      <w:r>
        <w:rPr>
          <w:rFonts w:hint="eastAsia" w:ascii="宋体" w:hAnsi="宋体" w:cs="宋体"/>
          <w:color w:val="auto"/>
          <w:szCs w:val="21"/>
        </w:rPr>
        <w:t xml:space="preserve"> </w:t>
      </w:r>
    </w:p>
    <w:p w14:paraId="2DEC5BDB">
      <w:pPr>
        <w:widowControl/>
        <w:adjustRightInd w:val="0"/>
        <w:snapToGrid w:val="0"/>
        <w:spacing w:line="50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提醒：以上所有资料务必以复印件加盖公章的形式放在投标文件中。如采取见面开标方式的，投标人的法定代表人（或其委托代理人）须携带身份证明文件于投标截止时间前到达开标现场并签到，以证明其出席。未按以上要求，其投标文件将作无效投标予以否决。</w:t>
      </w:r>
    </w:p>
    <w:p w14:paraId="1C0CD4EF">
      <w:pPr>
        <w:pStyle w:val="15"/>
        <w:spacing w:line="500" w:lineRule="exact"/>
        <w:ind w:firstLine="422" w:firstLineChars="200"/>
        <w:rPr>
          <w:rFonts w:hint="eastAsia" w:ascii="宋体" w:hAnsi="宋体" w:cs="宋体"/>
          <w:b/>
          <w:bCs/>
          <w:color w:val="auto"/>
          <w:sz w:val="21"/>
          <w:szCs w:val="21"/>
          <w:lang w:eastAsia="zh-CN"/>
        </w:rPr>
      </w:pPr>
      <w:r>
        <w:rPr>
          <w:rFonts w:hint="eastAsia" w:ascii="宋体" w:hAnsi="宋体" w:cs="宋体"/>
          <w:b/>
          <w:color w:val="auto"/>
          <w:sz w:val="21"/>
          <w:szCs w:val="21"/>
          <w:lang w:eastAsia="zh-CN"/>
        </w:rPr>
        <w:t>6、</w:t>
      </w:r>
      <w:r>
        <w:rPr>
          <w:rFonts w:hint="eastAsia" w:ascii="宋体" w:hAnsi="宋体" w:cs="宋体"/>
          <w:b/>
          <w:bCs/>
          <w:color w:val="auto"/>
          <w:sz w:val="21"/>
          <w:szCs w:val="21"/>
          <w:lang w:eastAsia="zh-CN"/>
        </w:rPr>
        <w:t>开标时间及地点：</w:t>
      </w:r>
    </w:p>
    <w:p w14:paraId="7BA12D3C">
      <w:pPr>
        <w:pStyle w:val="18"/>
        <w:adjustRightInd w:val="0"/>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（1）时间：2025年11月18日14时00分</w:t>
      </w:r>
    </w:p>
    <w:p w14:paraId="2C6A1A68">
      <w:pPr>
        <w:pStyle w:val="18"/>
        <w:adjustRightInd w:val="0"/>
        <w:snapToGrid w:val="0"/>
        <w:spacing w:line="500" w:lineRule="exact"/>
        <w:ind w:firstLine="420" w:firstLineChars="200"/>
        <w:rPr>
          <w:rFonts w:hint="eastAsia" w:ascii="宋体" w:hAnsi="宋体" w:cs="宋体"/>
          <w:b/>
          <w:bCs/>
          <w:color w:val="auto"/>
          <w:szCs w:val="21"/>
        </w:rPr>
      </w:pPr>
      <w:r>
        <w:rPr>
          <w:rFonts w:hint="eastAsia" w:ascii="宋体" w:hAnsi="宋体" w:cs="宋体"/>
          <w:color w:val="auto"/>
          <w:szCs w:val="21"/>
        </w:rPr>
        <w:t>（2）地点：常州市新北区崇义路9号常高新集团513室</w:t>
      </w:r>
      <w:r>
        <w:rPr>
          <w:rFonts w:hint="eastAsia" w:ascii="宋体" w:hAnsi="宋体" w:cs="宋体"/>
          <w:b/>
          <w:bCs/>
          <w:color w:val="auto"/>
          <w:szCs w:val="21"/>
        </w:rPr>
        <w:t xml:space="preserve"> </w:t>
      </w:r>
    </w:p>
    <w:p w14:paraId="53670DE8">
      <w:pPr>
        <w:pStyle w:val="11"/>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7、任何不符合招标公告（包括附件）要求的情形均视为资格审查不合格。</w:t>
      </w:r>
    </w:p>
    <w:p w14:paraId="54FFC0BB">
      <w:pPr>
        <w:pStyle w:val="15"/>
        <w:spacing w:line="500" w:lineRule="exact"/>
        <w:ind w:firstLine="420" w:firstLineChars="200"/>
        <w:rPr>
          <w:rFonts w:hint="eastAsia" w:ascii="宋体" w:hAnsi="宋体" w:cs="宋体"/>
          <w:sz w:val="21"/>
          <w:szCs w:val="21"/>
          <w:lang w:eastAsia="zh-CN"/>
        </w:rPr>
      </w:pPr>
      <w:r>
        <w:rPr>
          <w:rFonts w:hint="eastAsia" w:ascii="宋体" w:hAnsi="宋体" w:cs="宋体"/>
          <w:sz w:val="21"/>
          <w:szCs w:val="21"/>
          <w:lang w:eastAsia="zh-CN"/>
        </w:rPr>
        <w:t>8、</w:t>
      </w:r>
      <w:r>
        <w:rPr>
          <w:rFonts w:hint="eastAsia" w:ascii="宋体" w:hAnsi="宋体" w:cs="宋体"/>
          <w:kern w:val="2"/>
          <w:sz w:val="21"/>
          <w:szCs w:val="21"/>
          <w:lang w:eastAsia="zh-CN"/>
        </w:rPr>
        <w:t>本次招标工程的评标办法：</w:t>
      </w:r>
      <w:r>
        <w:rPr>
          <w:rFonts w:hint="eastAsia" w:ascii="宋体" w:hAnsi="宋体" w:cs="宋体"/>
          <w:sz w:val="21"/>
          <w:szCs w:val="21"/>
          <w:lang w:eastAsia="zh-CN"/>
        </w:rPr>
        <w:t>综合评分法（详见附件一）</w:t>
      </w:r>
    </w:p>
    <w:p w14:paraId="393A9D58">
      <w:pPr>
        <w:pStyle w:val="18"/>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9、投标人对招标公告及文件如有异议请联系招标人或招标代理机构。异议联系人：</w:t>
      </w:r>
      <w:r>
        <w:rPr>
          <w:rFonts w:hint="eastAsia" w:ascii="宋体" w:hAnsi="宋体" w:cs="宋体"/>
          <w:szCs w:val="21"/>
          <w:u w:val="single"/>
        </w:rPr>
        <w:t xml:space="preserve"> 邱工 </w:t>
      </w:r>
      <w:r>
        <w:rPr>
          <w:rFonts w:hint="eastAsia" w:ascii="宋体" w:hAnsi="宋体" w:cs="宋体"/>
          <w:szCs w:val="21"/>
        </w:rPr>
        <w:t>联系电话：</w:t>
      </w:r>
      <w:r>
        <w:rPr>
          <w:rFonts w:hint="eastAsia" w:ascii="宋体" w:hAnsi="宋体" w:cs="宋体"/>
          <w:szCs w:val="21"/>
          <w:u w:val="single"/>
        </w:rPr>
        <w:t>0519-85177236</w:t>
      </w:r>
      <w:r>
        <w:rPr>
          <w:rFonts w:hint="eastAsia" w:ascii="宋体" w:hAnsi="宋体" w:cs="宋体"/>
          <w:szCs w:val="21"/>
        </w:rPr>
        <w:t>；投诉电话：</w:t>
      </w:r>
      <w:r>
        <w:rPr>
          <w:rFonts w:hint="eastAsia" w:ascii="宋体" w:hAnsi="宋体" w:cs="宋体"/>
          <w:kern w:val="0"/>
          <w:szCs w:val="21"/>
          <w:u w:val="single"/>
        </w:rPr>
        <w:t>0519-85113061</w:t>
      </w:r>
      <w:r>
        <w:rPr>
          <w:rFonts w:hint="eastAsia" w:ascii="宋体" w:hAnsi="宋体" w:cs="宋体"/>
          <w:szCs w:val="21"/>
        </w:rPr>
        <w:t>　联系地址：</w:t>
      </w:r>
      <w:r>
        <w:rPr>
          <w:rFonts w:hint="eastAsia" w:ascii="宋体" w:hAnsi="宋体" w:cs="宋体"/>
          <w:szCs w:val="21"/>
          <w:u w:val="single"/>
        </w:rPr>
        <w:t>常州市新北区</w:t>
      </w:r>
      <w:r>
        <w:rPr>
          <w:rFonts w:hint="eastAsia" w:ascii="宋体" w:hAnsi="宋体" w:cs="宋体"/>
          <w:szCs w:val="21"/>
        </w:rPr>
        <w:t>；招标代理联系电话：</w:t>
      </w:r>
      <w:r>
        <w:rPr>
          <w:rFonts w:hint="eastAsia" w:ascii="宋体" w:hAnsi="宋体" w:cs="宋体"/>
          <w:szCs w:val="21"/>
          <w:u w:val="single"/>
        </w:rPr>
        <w:t xml:space="preserve">0519-83999268 </w:t>
      </w:r>
      <w:r>
        <w:rPr>
          <w:rFonts w:hint="eastAsia" w:ascii="宋体" w:hAnsi="宋体" w:cs="宋体"/>
          <w:szCs w:val="21"/>
        </w:rPr>
        <w:t>；联系地址：</w:t>
      </w:r>
      <w:r>
        <w:rPr>
          <w:rFonts w:hint="eastAsia" w:ascii="宋体" w:hAnsi="宋体" w:cs="宋体"/>
          <w:szCs w:val="21"/>
          <w:u w:val="single"/>
        </w:rPr>
        <w:t xml:space="preserve"> 常州市天宁区恒生科技园44-2</w:t>
      </w:r>
    </w:p>
    <w:p w14:paraId="37DBB4E3">
      <w:pPr>
        <w:tabs>
          <w:tab w:val="left" w:pos="540"/>
          <w:tab w:val="left" w:pos="720"/>
          <w:tab w:val="left" w:pos="900"/>
          <w:tab w:val="left" w:pos="1080"/>
        </w:tabs>
        <w:spacing w:line="500" w:lineRule="exact"/>
        <w:jc w:val="right"/>
        <w:rPr>
          <w:rFonts w:hint="eastAsia" w:ascii="宋体" w:hAnsi="宋体"/>
          <w:szCs w:val="21"/>
        </w:rPr>
      </w:pPr>
      <w:r>
        <w:rPr>
          <w:rFonts w:hint="eastAsia" w:ascii="宋体" w:hAnsi="宋体"/>
          <w:szCs w:val="21"/>
        </w:rPr>
        <w:t xml:space="preserve">招标人（盖章）：常州常高新数据科技有限公司 </w:t>
      </w:r>
    </w:p>
    <w:p w14:paraId="47382300">
      <w:pPr>
        <w:tabs>
          <w:tab w:val="left" w:pos="540"/>
          <w:tab w:val="left" w:pos="720"/>
          <w:tab w:val="left" w:pos="900"/>
          <w:tab w:val="left" w:pos="1080"/>
        </w:tabs>
        <w:spacing w:line="500" w:lineRule="exact"/>
        <w:jc w:val="right"/>
        <w:rPr>
          <w:rFonts w:hint="eastAsia" w:ascii="宋体" w:hAnsi="宋体"/>
          <w:szCs w:val="21"/>
        </w:rPr>
      </w:pPr>
    </w:p>
    <w:p w14:paraId="7C909BF0">
      <w:pPr>
        <w:tabs>
          <w:tab w:val="left" w:pos="540"/>
          <w:tab w:val="left" w:pos="720"/>
          <w:tab w:val="left" w:pos="900"/>
          <w:tab w:val="left" w:pos="1080"/>
        </w:tabs>
        <w:spacing w:line="500" w:lineRule="exact"/>
        <w:jc w:val="right"/>
        <w:rPr>
          <w:rFonts w:hint="eastAsia" w:ascii="宋体" w:hAnsi="宋体"/>
          <w:szCs w:val="21"/>
        </w:rPr>
      </w:pPr>
      <w:r>
        <w:rPr>
          <w:rFonts w:hint="eastAsia" w:ascii="宋体" w:hAnsi="宋体"/>
          <w:szCs w:val="21"/>
        </w:rPr>
        <w:t>招标代理机构（盖章）：江苏恒卓工程管理咨询有限公司</w:t>
      </w:r>
    </w:p>
    <w:p w14:paraId="79A51DF2">
      <w:pPr>
        <w:autoSpaceDE w:val="0"/>
        <w:autoSpaceDN w:val="0"/>
        <w:spacing w:line="500" w:lineRule="exact"/>
        <w:rPr>
          <w:rFonts w:hint="eastAsia" w:ascii="宋体" w:hAnsi="宋体" w:cs="宋体"/>
          <w:szCs w:val="21"/>
        </w:rPr>
      </w:pPr>
      <w:r>
        <w:rPr>
          <w:rFonts w:hint="eastAsia" w:ascii="宋体" w:hAnsi="宋体" w:cs="宋体"/>
          <w:b/>
          <w:bCs/>
          <w:szCs w:val="21"/>
        </w:rPr>
        <w:t>附件一：</w:t>
      </w:r>
    </w:p>
    <w:p w14:paraId="2F4BCD9C">
      <w:pPr>
        <w:pStyle w:val="11"/>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评标办法</w:t>
      </w:r>
    </w:p>
    <w:p w14:paraId="36E2F53F">
      <w:pPr>
        <w:widowControl/>
        <w:adjustRightInd w:val="0"/>
        <w:spacing w:line="400" w:lineRule="exact"/>
        <w:ind w:firstLine="420" w:firstLineChars="200"/>
        <w:jc w:val="left"/>
        <w:rPr>
          <w:rFonts w:hint="eastAsia" w:ascii="宋体" w:hAnsi="宋体" w:cs="宋体"/>
          <w:color w:val="auto"/>
          <w:szCs w:val="21"/>
          <w:highlight w:val="none"/>
        </w:rPr>
      </w:pPr>
      <w:bookmarkStart w:id="2" w:name="OLE_LINK4"/>
      <w:bookmarkStart w:id="3" w:name="OLE_LINK3"/>
      <w:r>
        <w:rPr>
          <w:rFonts w:hint="eastAsia" w:ascii="宋体" w:hAnsi="宋体" w:cs="宋体"/>
          <w:color w:val="auto"/>
          <w:szCs w:val="21"/>
          <w:highlight w:val="none"/>
        </w:rPr>
        <w:t>评标、定标办法：本着公平、公正、公开的原则，由评委负责评标，招标人择优确定中标人。</w:t>
      </w:r>
    </w:p>
    <w:p w14:paraId="4FC3139A">
      <w:pPr>
        <w:widowControl/>
        <w:adjustRightIn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一、确定有效标的原则：投标文件必须满足招标文件、招标答疑等有关招标的全部实质性要求。</w:t>
      </w:r>
    </w:p>
    <w:p w14:paraId="4A52D213">
      <w:pPr>
        <w:widowControl/>
        <w:adjustRightIn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投标人的投标总价或单价均不得高于招标控制价（若投标单位任意一家报价的税率与招标控制价税率不一致时，以不含税价比较），否则为无效标处理。</w:t>
      </w:r>
    </w:p>
    <w:p w14:paraId="03EE54EE">
      <w:pPr>
        <w:widowControl/>
        <w:adjustRightInd w:val="0"/>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sym w:font="Wingdings 2" w:char="0052"/>
      </w:r>
      <w:r>
        <w:rPr>
          <w:rFonts w:hint="eastAsia" w:ascii="宋体" w:hAnsi="宋体" w:cs="宋体"/>
          <w:b/>
          <w:bCs/>
          <w:color w:val="auto"/>
          <w:szCs w:val="21"/>
          <w:highlight w:val="none"/>
        </w:rPr>
        <w:t>投标人的投标总价不得高于招标控制价（若投标单位任意一家报价的税率与招标控制价税率不一致时，以不含税价比较），否则为无效标处理。</w:t>
      </w:r>
    </w:p>
    <w:p w14:paraId="565DEE99">
      <w:pPr>
        <w:widowControl/>
        <w:adjustRightInd w:val="0"/>
        <w:spacing w:line="40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二、定标办法：</w:t>
      </w:r>
    </w:p>
    <w:p w14:paraId="592F4FEC">
      <w:pPr>
        <w:widowControl/>
        <w:adjustRightInd w:val="0"/>
        <w:spacing w:line="400" w:lineRule="exact"/>
        <w:ind w:firstLine="422" w:firstLineChars="200"/>
        <w:jc w:val="left"/>
        <w:rPr>
          <w:rFonts w:hint="eastAsia" w:ascii="宋体" w:hAnsi="宋体" w:cs="宋体"/>
          <w:b/>
          <w:bCs/>
          <w:szCs w:val="21"/>
        </w:rPr>
      </w:pPr>
      <w:r>
        <w:rPr>
          <w:rFonts w:hint="eastAsia" w:ascii="宋体" w:hAnsi="宋体" w:cs="宋体"/>
          <w:b/>
          <w:bCs/>
          <w:szCs w:val="21"/>
        </w:rPr>
        <w:t>综合评分法：评标委员会取综合得分最高者为第一中标候选人。若综合评分相同，则按商务标评分由高到低排序，最高商务标得分为第一中标候选人；若最高商务标评分也有相同两家以上投标人，当场按开标记录表的顺序由招标人代表进行抽签确定中标候选人。</w:t>
      </w:r>
    </w:p>
    <w:tbl>
      <w:tblPr>
        <w:tblStyle w:val="8"/>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05"/>
        <w:gridCol w:w="840"/>
        <w:gridCol w:w="4825"/>
        <w:gridCol w:w="2776"/>
      </w:tblGrid>
      <w:tr w14:paraId="2F18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6" w:type="dxa"/>
            <w:vAlign w:val="center"/>
          </w:tcPr>
          <w:p w14:paraId="1CCF3D18">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color w:val="000000"/>
                <w:sz w:val="21"/>
                <w:szCs w:val="21"/>
              </w:rPr>
            </w:pPr>
            <w:r>
              <w:rPr>
                <w:rFonts w:hint="eastAsia" w:ascii="宋体" w:hAnsi="宋体" w:cs="宋体"/>
                <w:b/>
                <w:color w:val="000000"/>
                <w:sz w:val="21"/>
                <w:szCs w:val="21"/>
              </w:rPr>
              <w:t>序号</w:t>
            </w:r>
          </w:p>
        </w:tc>
        <w:tc>
          <w:tcPr>
            <w:tcW w:w="1305" w:type="dxa"/>
            <w:vAlign w:val="center"/>
          </w:tcPr>
          <w:p w14:paraId="5AF92C6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color w:val="000000"/>
                <w:sz w:val="21"/>
                <w:szCs w:val="21"/>
              </w:rPr>
            </w:pPr>
            <w:r>
              <w:rPr>
                <w:rFonts w:hint="eastAsia" w:ascii="宋体" w:hAnsi="宋体" w:cs="宋体"/>
                <w:b/>
                <w:color w:val="000000"/>
                <w:sz w:val="21"/>
                <w:szCs w:val="21"/>
              </w:rPr>
              <w:t>评分因素</w:t>
            </w:r>
          </w:p>
        </w:tc>
        <w:tc>
          <w:tcPr>
            <w:tcW w:w="840" w:type="dxa"/>
            <w:vAlign w:val="center"/>
          </w:tcPr>
          <w:p w14:paraId="6323910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color w:val="000000"/>
                <w:sz w:val="21"/>
                <w:szCs w:val="21"/>
              </w:rPr>
            </w:pPr>
            <w:r>
              <w:rPr>
                <w:rFonts w:hint="eastAsia" w:ascii="宋体" w:hAnsi="宋体" w:cs="宋体"/>
                <w:b/>
                <w:color w:val="000000"/>
                <w:sz w:val="21"/>
                <w:szCs w:val="21"/>
              </w:rPr>
              <w:t>分值</w:t>
            </w:r>
          </w:p>
        </w:tc>
        <w:tc>
          <w:tcPr>
            <w:tcW w:w="4825" w:type="dxa"/>
            <w:vAlign w:val="center"/>
          </w:tcPr>
          <w:p w14:paraId="72D882B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color w:val="000000"/>
                <w:sz w:val="21"/>
                <w:szCs w:val="21"/>
              </w:rPr>
            </w:pPr>
            <w:r>
              <w:rPr>
                <w:rFonts w:hint="eastAsia" w:ascii="宋体" w:hAnsi="宋体" w:cs="宋体"/>
                <w:b/>
                <w:color w:val="000000"/>
                <w:sz w:val="21"/>
                <w:szCs w:val="21"/>
              </w:rPr>
              <w:t>评分标准</w:t>
            </w:r>
          </w:p>
        </w:tc>
        <w:tc>
          <w:tcPr>
            <w:tcW w:w="2776" w:type="dxa"/>
            <w:vAlign w:val="center"/>
          </w:tcPr>
          <w:p w14:paraId="126F9C14">
            <w:pPr>
              <w:pStyle w:val="21"/>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r>
      <w:tr w14:paraId="7284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Align w:val="center"/>
          </w:tcPr>
          <w:p w14:paraId="6A977D0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bCs/>
                <w:color w:val="000000"/>
                <w:sz w:val="21"/>
                <w:szCs w:val="21"/>
              </w:rPr>
            </w:pPr>
            <w:r>
              <w:rPr>
                <w:rFonts w:hint="eastAsia" w:ascii="宋体" w:hAnsi="宋体" w:cs="宋体"/>
                <w:b/>
                <w:bCs/>
                <w:color w:val="000000"/>
                <w:sz w:val="21"/>
                <w:szCs w:val="21"/>
              </w:rPr>
              <w:t>1</w:t>
            </w:r>
          </w:p>
        </w:tc>
        <w:tc>
          <w:tcPr>
            <w:tcW w:w="9746" w:type="dxa"/>
            <w:gridSpan w:val="4"/>
            <w:vAlign w:val="center"/>
          </w:tcPr>
          <w:p w14:paraId="158D28F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38" w:right="0"/>
              <w:textAlignment w:val="auto"/>
              <w:rPr>
                <w:rFonts w:hint="eastAsia" w:ascii="宋体" w:hAnsi="宋体" w:cs="宋体"/>
                <w:color w:val="000000"/>
                <w:sz w:val="21"/>
                <w:szCs w:val="21"/>
              </w:rPr>
            </w:pPr>
            <w:r>
              <w:rPr>
                <w:rFonts w:hint="eastAsia" w:ascii="宋体" w:hAnsi="宋体" w:cs="宋体"/>
                <w:b/>
                <w:bCs/>
                <w:color w:val="000000"/>
                <w:sz w:val="21"/>
                <w:szCs w:val="21"/>
              </w:rPr>
              <w:t>价格分：</w:t>
            </w:r>
            <w:r>
              <w:rPr>
                <w:rFonts w:hint="eastAsia" w:ascii="宋体" w:hAnsi="宋体" w:cs="宋体"/>
                <w:b/>
                <w:bCs/>
                <w:color w:val="000000"/>
                <w:sz w:val="21"/>
                <w:szCs w:val="21"/>
                <w:lang w:val="en-US" w:eastAsia="zh-CN"/>
              </w:rPr>
              <w:t>2</w:t>
            </w:r>
            <w:r>
              <w:rPr>
                <w:rFonts w:hint="eastAsia" w:ascii="宋体" w:hAnsi="宋体" w:cs="宋体"/>
                <w:b/>
                <w:bCs/>
                <w:color w:val="000000"/>
                <w:sz w:val="21"/>
                <w:szCs w:val="21"/>
              </w:rPr>
              <w:t>0分</w:t>
            </w:r>
          </w:p>
        </w:tc>
      </w:tr>
      <w:tr w14:paraId="0A4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46" w:type="dxa"/>
            <w:vAlign w:val="center"/>
          </w:tcPr>
          <w:p w14:paraId="59EDC74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b/>
                <w:bCs/>
                <w:color w:val="000000"/>
                <w:sz w:val="21"/>
                <w:szCs w:val="21"/>
              </w:rPr>
            </w:pPr>
            <w:r>
              <w:rPr>
                <w:rFonts w:hint="eastAsia" w:ascii="宋体" w:hAnsi="宋体" w:cs="宋体"/>
                <w:b/>
                <w:bCs/>
                <w:color w:val="000000"/>
                <w:sz w:val="21"/>
                <w:szCs w:val="21"/>
              </w:rPr>
              <w:t>1.1</w:t>
            </w:r>
          </w:p>
        </w:tc>
        <w:tc>
          <w:tcPr>
            <w:tcW w:w="1305" w:type="dxa"/>
            <w:vAlign w:val="center"/>
          </w:tcPr>
          <w:p w14:paraId="3245EF1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bCs/>
                <w:sz w:val="21"/>
                <w:szCs w:val="21"/>
              </w:rPr>
            </w:pPr>
            <w:r>
              <w:rPr>
                <w:rFonts w:hint="eastAsia" w:ascii="宋体" w:hAnsi="宋体" w:cs="宋体"/>
                <w:b/>
                <w:bCs/>
                <w:sz w:val="21"/>
                <w:szCs w:val="21"/>
              </w:rPr>
              <w:t>价格分</w:t>
            </w:r>
          </w:p>
        </w:tc>
        <w:tc>
          <w:tcPr>
            <w:tcW w:w="840" w:type="dxa"/>
            <w:vAlign w:val="center"/>
          </w:tcPr>
          <w:p w14:paraId="19BA52A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b/>
                <w:bCs/>
                <w:sz w:val="21"/>
                <w:szCs w:val="21"/>
              </w:rPr>
            </w:pPr>
            <w:r>
              <w:rPr>
                <w:rFonts w:hint="eastAsia" w:ascii="宋体" w:hAnsi="宋体" w:cs="宋体"/>
                <w:b/>
                <w:bCs/>
                <w:sz w:val="21"/>
                <w:szCs w:val="21"/>
                <w:lang w:val="en-US" w:eastAsia="zh-CN"/>
              </w:rPr>
              <w:t>2</w:t>
            </w:r>
            <w:r>
              <w:rPr>
                <w:rFonts w:hint="eastAsia" w:ascii="宋体" w:hAnsi="宋体" w:cs="宋体"/>
                <w:b/>
                <w:bCs/>
                <w:sz w:val="21"/>
                <w:szCs w:val="21"/>
              </w:rPr>
              <w:t>0</w:t>
            </w:r>
          </w:p>
        </w:tc>
        <w:tc>
          <w:tcPr>
            <w:tcW w:w="4825" w:type="dxa"/>
            <w:vAlign w:val="center"/>
          </w:tcPr>
          <w:p w14:paraId="7CEF172E">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eastAsia="宋体" w:cs="宋体"/>
                <w:sz w:val="21"/>
                <w:szCs w:val="21"/>
                <w:lang w:val="en-US" w:eastAsia="zh-CN"/>
              </w:rPr>
            </w:pPr>
            <w:r>
              <w:rPr>
                <w:rFonts w:hint="eastAsia" w:ascii="宋体" w:hAnsi="宋体" w:cs="宋体"/>
                <w:sz w:val="21"/>
                <w:szCs w:val="21"/>
              </w:rPr>
              <w:t>满足招标文件要求且最低的投标</w:t>
            </w:r>
            <w:r>
              <w:rPr>
                <w:rFonts w:hint="eastAsia" w:ascii="宋体" w:hAnsi="宋体" w:cs="宋体"/>
                <w:sz w:val="21"/>
                <w:szCs w:val="21"/>
                <w:lang w:val="en-US" w:eastAsia="zh-CN"/>
              </w:rPr>
              <w:t>总价</w:t>
            </w:r>
            <w:r>
              <w:rPr>
                <w:rFonts w:hint="eastAsia" w:ascii="宋体" w:hAnsi="宋体" w:cs="宋体"/>
                <w:sz w:val="21"/>
                <w:szCs w:val="21"/>
              </w:rPr>
              <w:t>为评标基准价</w:t>
            </w:r>
            <w:r>
              <w:rPr>
                <w:rFonts w:hint="eastAsia" w:ascii="宋体" w:hAnsi="宋体" w:cs="宋体"/>
                <w:b/>
                <w:bCs/>
                <w:sz w:val="21"/>
                <w:szCs w:val="21"/>
              </w:rPr>
              <w:t>（若投标单位任意家报价的税率与招标控制价税率不一致时，以税前价比较），</w:t>
            </w:r>
            <w:r>
              <w:rPr>
                <w:rFonts w:hint="eastAsia" w:ascii="宋体" w:hAnsi="宋体" w:cs="宋体"/>
                <w:sz w:val="21"/>
                <w:szCs w:val="21"/>
              </w:rPr>
              <w:t>其价格分为满分。其他投标人的价格分统一按照下列公式计算：价格分得分=</w:t>
            </w:r>
            <w:r>
              <w:rPr>
                <w:rFonts w:hint="eastAsia" w:ascii="宋体" w:hAnsi="宋体" w:cs="宋体"/>
                <w:sz w:val="21"/>
                <w:szCs w:val="21"/>
                <w:lang w:eastAsia="zh-CN"/>
              </w:rPr>
              <w:t>（</w:t>
            </w:r>
            <w:r>
              <w:rPr>
                <w:rFonts w:hint="eastAsia" w:ascii="宋体" w:hAnsi="宋体" w:cs="宋体"/>
                <w:sz w:val="21"/>
                <w:szCs w:val="21"/>
              </w:rPr>
              <w:t>评标基准价/投标报价</w:t>
            </w:r>
            <w:r>
              <w:rPr>
                <w:rFonts w:hint="eastAsia" w:ascii="宋体" w:hAnsi="宋体" w:cs="宋体"/>
                <w:sz w:val="21"/>
                <w:szCs w:val="21"/>
                <w:lang w:eastAsia="zh-CN"/>
              </w:rPr>
              <w:t>）</w:t>
            </w:r>
            <w:r>
              <w:rPr>
                <w:rFonts w:hint="eastAsia" w:ascii="宋体" w:hAnsi="宋体" w:cs="宋体"/>
                <w:sz w:val="21"/>
                <w:szCs w:val="21"/>
              </w:rPr>
              <w:t>*</w:t>
            </w:r>
            <w:r>
              <w:rPr>
                <w:rFonts w:hint="eastAsia" w:ascii="宋体" w:hAnsi="宋体" w:cs="宋体"/>
                <w:sz w:val="21"/>
                <w:szCs w:val="21"/>
                <w:lang w:val="en-US" w:eastAsia="zh-CN"/>
              </w:rPr>
              <w:t>20</w:t>
            </w:r>
          </w:p>
        </w:tc>
        <w:tc>
          <w:tcPr>
            <w:tcW w:w="2776" w:type="dxa"/>
            <w:vAlign w:val="center"/>
          </w:tcPr>
          <w:p w14:paraId="5CF970E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38" w:right="0"/>
              <w:textAlignment w:val="auto"/>
              <w:rPr>
                <w:rFonts w:hint="default" w:ascii="宋体" w:hAnsi="宋体" w:cs="宋体"/>
                <w:sz w:val="21"/>
                <w:szCs w:val="21"/>
              </w:rPr>
            </w:pPr>
          </w:p>
        </w:tc>
      </w:tr>
      <w:tr w14:paraId="6971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6" w:type="dxa"/>
            <w:vAlign w:val="center"/>
          </w:tcPr>
          <w:p w14:paraId="7C38FFA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bCs/>
                <w:color w:val="000000"/>
                <w:sz w:val="21"/>
                <w:szCs w:val="21"/>
              </w:rPr>
            </w:pPr>
            <w:r>
              <w:rPr>
                <w:rFonts w:hint="eastAsia" w:ascii="宋体" w:hAnsi="宋体" w:cs="宋体"/>
                <w:b/>
                <w:bCs/>
                <w:color w:val="000000"/>
                <w:sz w:val="21"/>
                <w:szCs w:val="21"/>
              </w:rPr>
              <w:t>2</w:t>
            </w:r>
          </w:p>
        </w:tc>
        <w:tc>
          <w:tcPr>
            <w:tcW w:w="9746" w:type="dxa"/>
            <w:gridSpan w:val="4"/>
            <w:vAlign w:val="center"/>
          </w:tcPr>
          <w:p w14:paraId="066E09D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38" w:right="0"/>
              <w:textAlignment w:val="auto"/>
              <w:rPr>
                <w:rFonts w:hint="eastAsia" w:ascii="宋体" w:hAnsi="宋体" w:cs="宋体"/>
                <w:sz w:val="21"/>
                <w:szCs w:val="21"/>
              </w:rPr>
            </w:pPr>
            <w:r>
              <w:rPr>
                <w:rFonts w:hint="eastAsia" w:ascii="宋体" w:hAnsi="宋体" w:cs="宋体"/>
                <w:b/>
                <w:bCs/>
                <w:sz w:val="21"/>
                <w:szCs w:val="21"/>
              </w:rPr>
              <w:t>企业实力：</w:t>
            </w:r>
            <w:r>
              <w:rPr>
                <w:rFonts w:hint="eastAsia" w:ascii="宋体" w:hAnsi="宋体" w:cs="宋体"/>
                <w:b/>
                <w:bCs/>
                <w:sz w:val="21"/>
                <w:szCs w:val="21"/>
                <w:lang w:val="en-US" w:eastAsia="zh-CN"/>
              </w:rPr>
              <w:t>24</w:t>
            </w:r>
            <w:r>
              <w:rPr>
                <w:rFonts w:hint="eastAsia" w:ascii="宋体" w:hAnsi="宋体" w:cs="宋体"/>
                <w:b/>
                <w:bCs/>
                <w:sz w:val="21"/>
                <w:szCs w:val="21"/>
              </w:rPr>
              <w:t>分</w:t>
            </w:r>
          </w:p>
        </w:tc>
      </w:tr>
      <w:tr w14:paraId="18BF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46" w:type="dxa"/>
            <w:vAlign w:val="center"/>
          </w:tcPr>
          <w:p w14:paraId="60B471F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eastAsia="宋体" w:cs="宋体"/>
                <w:kern w:val="0"/>
                <w:sz w:val="21"/>
                <w:szCs w:val="21"/>
                <w:lang w:val="en-US" w:eastAsia="zh-CN"/>
              </w:rPr>
            </w:pPr>
            <w:r>
              <w:rPr>
                <w:rFonts w:hint="eastAsia" w:ascii="宋体" w:hAnsi="宋体" w:cs="宋体"/>
                <w:kern w:val="0"/>
                <w:sz w:val="21"/>
                <w:szCs w:val="21"/>
              </w:rPr>
              <w:t>2.</w:t>
            </w:r>
            <w:r>
              <w:rPr>
                <w:rFonts w:hint="eastAsia" w:ascii="宋体" w:hAnsi="宋体" w:cs="宋体"/>
                <w:kern w:val="0"/>
                <w:sz w:val="21"/>
                <w:szCs w:val="21"/>
                <w:lang w:val="en-US" w:eastAsia="zh-CN"/>
              </w:rPr>
              <w:t>1</w:t>
            </w:r>
          </w:p>
        </w:tc>
        <w:tc>
          <w:tcPr>
            <w:tcW w:w="1305" w:type="dxa"/>
            <w:vAlign w:val="center"/>
          </w:tcPr>
          <w:p w14:paraId="54D6E941">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sz w:val="21"/>
                <w:szCs w:val="21"/>
                <w:lang w:val="en-US"/>
              </w:rPr>
            </w:pPr>
            <w:r>
              <w:rPr>
                <w:rFonts w:hint="eastAsia" w:ascii="宋体" w:hAnsi="宋体" w:cs="宋体"/>
                <w:sz w:val="21"/>
                <w:szCs w:val="21"/>
                <w:lang w:val="en-US" w:eastAsia="zh-CN"/>
              </w:rPr>
              <w:t>认证证书</w:t>
            </w:r>
          </w:p>
        </w:tc>
        <w:tc>
          <w:tcPr>
            <w:tcW w:w="840" w:type="dxa"/>
            <w:vAlign w:val="center"/>
          </w:tcPr>
          <w:p w14:paraId="6810407E">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4825" w:type="dxa"/>
            <w:vAlign w:val="center"/>
          </w:tcPr>
          <w:p w14:paraId="0CAC9ED3">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sz w:val="21"/>
                <w:szCs w:val="21"/>
              </w:rPr>
            </w:pPr>
            <w:r>
              <w:rPr>
                <w:rFonts w:hint="eastAsia" w:ascii="宋体" w:hAnsi="宋体" w:cs="宋体"/>
                <w:sz w:val="21"/>
                <w:szCs w:val="21"/>
              </w:rPr>
              <w:t>投标人具有质量管理体系认证证书、信息安全管理体系认证证书、信息技术服务标准符合性证书的有一个得</w:t>
            </w:r>
            <w:r>
              <w:rPr>
                <w:rFonts w:hint="eastAsia" w:ascii="宋体" w:hAnsi="宋体" w:cs="宋体"/>
                <w:sz w:val="21"/>
                <w:szCs w:val="21"/>
                <w:lang w:val="en-US" w:eastAsia="zh-CN"/>
              </w:rPr>
              <w:t>2</w:t>
            </w:r>
            <w:r>
              <w:rPr>
                <w:rFonts w:hint="eastAsia" w:ascii="宋体" w:hAnsi="宋体" w:cs="宋体"/>
                <w:sz w:val="21"/>
                <w:szCs w:val="21"/>
              </w:rPr>
              <w:t>分，本项最高得</w:t>
            </w:r>
            <w:r>
              <w:rPr>
                <w:rFonts w:hint="eastAsia" w:ascii="宋体" w:hAnsi="宋体" w:cs="宋体"/>
                <w:sz w:val="21"/>
                <w:szCs w:val="21"/>
                <w:lang w:val="en-US" w:eastAsia="zh-CN"/>
              </w:rPr>
              <w:t>6</w:t>
            </w:r>
            <w:r>
              <w:rPr>
                <w:rFonts w:hint="eastAsia" w:ascii="宋体" w:hAnsi="宋体" w:cs="宋体"/>
                <w:sz w:val="21"/>
                <w:szCs w:val="21"/>
              </w:rPr>
              <w:t>分。</w:t>
            </w:r>
          </w:p>
        </w:tc>
        <w:tc>
          <w:tcPr>
            <w:tcW w:w="2776" w:type="dxa"/>
            <w:vAlign w:val="center"/>
          </w:tcPr>
          <w:p w14:paraId="76434281">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sz w:val="21"/>
                <w:szCs w:val="21"/>
              </w:rPr>
            </w:pPr>
            <w:r>
              <w:rPr>
                <w:rFonts w:hint="eastAsia" w:ascii="宋体" w:hAnsi="宋体" w:cs="宋体"/>
                <w:sz w:val="21"/>
                <w:szCs w:val="21"/>
              </w:rPr>
              <w:t>投标文件中提供证书以及证书在国家认监委网站查询状态为“有效”截图复印件并加盖投标人公章，未按要求提供或材料不清晰或材料不全的不得分。</w:t>
            </w:r>
          </w:p>
        </w:tc>
      </w:tr>
      <w:tr w14:paraId="3037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46" w:type="dxa"/>
            <w:vAlign w:val="center"/>
          </w:tcPr>
          <w:p w14:paraId="6895F1F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2.</w:t>
            </w:r>
            <w:r>
              <w:rPr>
                <w:rFonts w:hint="eastAsia" w:ascii="宋体" w:hAnsi="宋体" w:cs="宋体"/>
                <w:color w:val="000000"/>
                <w:kern w:val="0"/>
                <w:sz w:val="21"/>
                <w:szCs w:val="21"/>
                <w:lang w:val="en-US" w:eastAsia="zh-CN"/>
              </w:rPr>
              <w:t>2</w:t>
            </w:r>
          </w:p>
        </w:tc>
        <w:tc>
          <w:tcPr>
            <w:tcW w:w="1305" w:type="dxa"/>
            <w:vAlign w:val="center"/>
          </w:tcPr>
          <w:p w14:paraId="7060018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人员配备</w:t>
            </w:r>
          </w:p>
        </w:tc>
        <w:tc>
          <w:tcPr>
            <w:tcW w:w="840" w:type="dxa"/>
            <w:vAlign w:val="center"/>
          </w:tcPr>
          <w:p w14:paraId="0760F03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p>
        </w:tc>
        <w:tc>
          <w:tcPr>
            <w:tcW w:w="4825" w:type="dxa"/>
            <w:vAlign w:val="center"/>
          </w:tcPr>
          <w:p w14:paraId="4F1285D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本项目拟配备技术人员：</w:t>
            </w:r>
          </w:p>
          <w:p w14:paraId="1BB1F49F">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cs="宋体"/>
                <w:color w:val="auto"/>
                <w:sz w:val="21"/>
                <w:szCs w:val="20"/>
                <w:highlight w:val="none"/>
              </w:rPr>
            </w:pPr>
            <w:r>
              <w:rPr>
                <w:rFonts w:hint="eastAsia" w:ascii="宋体" w:hAnsi="宋体" w:cs="宋体"/>
                <w:color w:val="auto"/>
                <w:sz w:val="21"/>
                <w:szCs w:val="21"/>
                <w:highlight w:val="none"/>
              </w:rPr>
              <w:t>（1）项目负责人具有电子信息</w:t>
            </w:r>
            <w:r>
              <w:rPr>
                <w:rFonts w:hint="eastAsia" w:ascii="宋体" w:hAnsi="宋体" w:cs="宋体"/>
                <w:color w:val="auto"/>
                <w:sz w:val="21"/>
                <w:szCs w:val="21"/>
                <w:highlight w:val="none"/>
                <w:lang w:val="en-US" w:eastAsia="zh-CN"/>
              </w:rPr>
              <w:t>相关</w:t>
            </w:r>
            <w:r>
              <w:rPr>
                <w:rFonts w:hint="eastAsia" w:ascii="宋体" w:hAnsi="宋体" w:cs="宋体"/>
                <w:color w:val="auto"/>
                <w:sz w:val="21"/>
                <w:szCs w:val="21"/>
                <w:highlight w:val="none"/>
              </w:rPr>
              <w:t>专业高级职</w:t>
            </w:r>
            <w:bookmarkStart w:id="4" w:name="_GoBack"/>
            <w:bookmarkEnd w:id="4"/>
            <w:r>
              <w:rPr>
                <w:rFonts w:hint="eastAsia" w:ascii="宋体" w:hAnsi="宋体" w:cs="宋体"/>
                <w:color w:val="auto"/>
                <w:sz w:val="21"/>
                <w:szCs w:val="21"/>
                <w:highlight w:val="none"/>
              </w:rPr>
              <w:t>称得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中级职称得1分，最高得2分</w:t>
            </w:r>
            <w:r>
              <w:rPr>
                <w:rFonts w:hint="eastAsia" w:ascii="宋体" w:hAnsi="宋体" w:cs="宋体"/>
                <w:color w:val="auto"/>
                <w:sz w:val="21"/>
                <w:szCs w:val="21"/>
                <w:highlight w:val="none"/>
              </w:rPr>
              <w:t>；</w:t>
            </w:r>
          </w:p>
          <w:p w14:paraId="43DBA11E">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cs="宋体"/>
                <w:color w:val="auto"/>
                <w:sz w:val="21"/>
                <w:szCs w:val="20"/>
                <w:highlight w:val="none"/>
                <w:lang w:eastAsia="zh-CN"/>
              </w:rPr>
            </w:pPr>
            <w:r>
              <w:rPr>
                <w:rFonts w:hint="eastAsia" w:ascii="宋体" w:hAnsi="宋体" w:cs="宋体"/>
                <w:color w:val="auto"/>
                <w:sz w:val="21"/>
                <w:szCs w:val="21"/>
                <w:highlight w:val="none"/>
              </w:rPr>
              <w:t>（2）项目成员中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不含项目负责人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具有CISP-DSG</w:t>
            </w:r>
            <w:r>
              <w:rPr>
                <w:rFonts w:hint="eastAsia" w:ascii="宋体" w:hAnsi="宋体" w:cs="宋体"/>
                <w:color w:val="auto"/>
                <w:sz w:val="21"/>
                <w:szCs w:val="21"/>
                <w:highlight w:val="none"/>
                <w:lang w:val="en-US" w:eastAsia="zh-CN"/>
              </w:rPr>
              <w:t>或</w:t>
            </w:r>
            <w:r>
              <w:rPr>
                <w:rFonts w:hint="eastAsia" w:ascii="宋体" w:hAnsi="宋体" w:cs="宋体"/>
                <w:color w:val="auto"/>
                <w:sz w:val="21"/>
                <w:szCs w:val="21"/>
                <w:highlight w:val="none"/>
              </w:rPr>
              <w:t>CISP-CISE的有一个得</w:t>
            </w:r>
            <w:r>
              <w:rPr>
                <w:rFonts w:hint="eastAsia" w:ascii="宋体" w:hAnsi="宋体" w:cs="宋体"/>
                <w:color w:val="auto"/>
                <w:sz w:val="21"/>
                <w:szCs w:val="21"/>
                <w:highlight w:val="none"/>
                <w:lang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最高得4分</w:t>
            </w:r>
            <w:r>
              <w:rPr>
                <w:rFonts w:hint="eastAsia" w:ascii="宋体" w:hAnsi="宋体" w:cs="宋体"/>
                <w:color w:val="auto"/>
                <w:sz w:val="21"/>
                <w:szCs w:val="21"/>
                <w:highlight w:val="none"/>
                <w:lang w:eastAsia="zh-CN"/>
              </w:rPr>
              <w:t>。</w:t>
            </w:r>
          </w:p>
          <w:p w14:paraId="5AA84D5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lang w:val="en-US" w:eastAsia="zh-CN"/>
              </w:rPr>
              <w:t>本项满分6分。</w:t>
            </w:r>
          </w:p>
        </w:tc>
        <w:tc>
          <w:tcPr>
            <w:tcW w:w="2776" w:type="dxa"/>
            <w:vAlign w:val="center"/>
          </w:tcPr>
          <w:p w14:paraId="117FD003">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color w:val="auto"/>
                <w:sz w:val="21"/>
                <w:szCs w:val="21"/>
                <w:highlight w:val="none"/>
              </w:rPr>
            </w:pPr>
            <w:r>
              <w:rPr>
                <w:rFonts w:hint="eastAsia" w:ascii="宋体" w:hAnsi="宋体" w:cs="宋体"/>
                <w:color w:val="auto"/>
                <w:sz w:val="21"/>
                <w:szCs w:val="21"/>
                <w:highlight w:val="none"/>
              </w:rPr>
              <w:t>投标文件中提供证书及由社保机构出具的投标人为其缴纳的社会保障凭证加盖社保机构公章或社保中心官网上缴纳记录加盖投标人公章（缴纳时间为：2025年0</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月），同一人不重复计分。未按要求提供或材料不清晰或材料不全的不得分。</w:t>
            </w:r>
          </w:p>
        </w:tc>
      </w:tr>
      <w:tr w14:paraId="382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46" w:type="dxa"/>
            <w:vAlign w:val="center"/>
          </w:tcPr>
          <w:p w14:paraId="1383DAC2">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eastAsia="宋体" w:cs="宋体"/>
                <w:color w:val="000000"/>
                <w:sz w:val="21"/>
                <w:szCs w:val="21"/>
                <w:lang w:val="en-US" w:eastAsia="zh-CN"/>
              </w:rPr>
            </w:pPr>
            <w:r>
              <w:rPr>
                <w:rFonts w:hint="eastAsia" w:ascii="宋体" w:hAnsi="宋体" w:cs="宋体"/>
                <w:kern w:val="0"/>
                <w:sz w:val="21"/>
                <w:szCs w:val="21"/>
              </w:rPr>
              <w:t>2.</w:t>
            </w:r>
            <w:r>
              <w:rPr>
                <w:rFonts w:hint="eastAsia" w:ascii="宋体" w:hAnsi="宋体" w:cs="宋体"/>
                <w:kern w:val="0"/>
                <w:sz w:val="21"/>
                <w:szCs w:val="21"/>
                <w:lang w:val="en-US" w:eastAsia="zh-CN"/>
              </w:rPr>
              <w:t>3</w:t>
            </w:r>
          </w:p>
        </w:tc>
        <w:tc>
          <w:tcPr>
            <w:tcW w:w="1305" w:type="dxa"/>
            <w:vAlign w:val="center"/>
          </w:tcPr>
          <w:p w14:paraId="5794ABC1">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color w:val="auto"/>
                <w:sz w:val="21"/>
                <w:szCs w:val="21"/>
              </w:rPr>
            </w:pPr>
            <w:r>
              <w:rPr>
                <w:rFonts w:hint="eastAsia" w:ascii="宋体" w:hAnsi="宋体" w:cs="宋体"/>
                <w:color w:val="auto"/>
                <w:sz w:val="21"/>
                <w:szCs w:val="21"/>
                <w:lang w:val="en-US" w:eastAsia="zh-CN"/>
              </w:rPr>
              <w:t>类似</w:t>
            </w:r>
            <w:r>
              <w:rPr>
                <w:rFonts w:hint="eastAsia" w:ascii="宋体" w:hAnsi="宋体" w:cs="宋体"/>
                <w:color w:val="auto"/>
                <w:sz w:val="21"/>
                <w:szCs w:val="21"/>
              </w:rPr>
              <w:t>业绩</w:t>
            </w:r>
          </w:p>
        </w:tc>
        <w:tc>
          <w:tcPr>
            <w:tcW w:w="840" w:type="dxa"/>
            <w:vAlign w:val="center"/>
          </w:tcPr>
          <w:p w14:paraId="4A6973E3">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color w:val="auto"/>
                <w:sz w:val="21"/>
                <w:szCs w:val="21"/>
                <w:lang w:val="en-US"/>
              </w:rPr>
            </w:pPr>
            <w:r>
              <w:rPr>
                <w:rFonts w:hint="eastAsia" w:ascii="宋体" w:hAnsi="宋体" w:cs="宋体"/>
                <w:color w:val="auto"/>
                <w:sz w:val="21"/>
                <w:szCs w:val="21"/>
                <w:lang w:val="en-US" w:eastAsia="zh-CN"/>
              </w:rPr>
              <w:t>12</w:t>
            </w:r>
          </w:p>
        </w:tc>
        <w:tc>
          <w:tcPr>
            <w:tcW w:w="4825" w:type="dxa"/>
            <w:vAlign w:val="center"/>
          </w:tcPr>
          <w:p w14:paraId="3AAD0AF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202</w:t>
            </w:r>
            <w:r>
              <w:rPr>
                <w:rFonts w:hint="eastAsia" w:ascii="宋体" w:hAnsi="宋体" w:cs="宋体"/>
                <w:color w:val="auto"/>
                <w:sz w:val="21"/>
                <w:szCs w:val="21"/>
                <w:highlight w:val="none"/>
              </w:rPr>
              <w:t>2</w:t>
            </w:r>
            <w:r>
              <w:rPr>
                <w:rFonts w:hint="default" w:ascii="宋体" w:hAnsi="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default" w:ascii="宋体" w:hAnsi="宋体" w:cs="宋体"/>
                <w:color w:val="auto"/>
                <w:sz w:val="21"/>
                <w:szCs w:val="21"/>
                <w:highlight w:val="none"/>
              </w:rPr>
              <w:t>月</w:t>
            </w:r>
            <w:r>
              <w:rPr>
                <w:rFonts w:hint="eastAsia" w:ascii="宋体" w:hAnsi="宋体" w:cs="宋体"/>
                <w:color w:val="auto"/>
                <w:sz w:val="21"/>
                <w:szCs w:val="21"/>
                <w:highlight w:val="none"/>
              </w:rPr>
              <w:t>0</w:t>
            </w:r>
            <w:r>
              <w:rPr>
                <w:rFonts w:hint="default" w:ascii="宋体" w:hAnsi="宋体" w:cs="宋体"/>
                <w:color w:val="auto"/>
                <w:sz w:val="21"/>
                <w:szCs w:val="21"/>
                <w:highlight w:val="none"/>
              </w:rPr>
              <w:t>1日以来</w:t>
            </w:r>
            <w:r>
              <w:rPr>
                <w:rFonts w:hint="eastAsia" w:ascii="宋体" w:hAnsi="宋体" w:cs="宋体"/>
                <w:color w:val="auto"/>
                <w:sz w:val="21"/>
                <w:szCs w:val="21"/>
                <w:highlight w:val="none"/>
              </w:rPr>
              <w:t>（以合同签订时间为准）投标人承接过软件开发项目业绩</w:t>
            </w:r>
            <w:r>
              <w:rPr>
                <w:rFonts w:hint="eastAsia" w:ascii="宋体" w:hAnsi="宋体" w:cs="宋体"/>
                <w:color w:val="auto"/>
                <w:sz w:val="21"/>
                <w:szCs w:val="21"/>
                <w:highlight w:val="none"/>
                <w:lang w:val="en-US" w:eastAsia="zh-CN"/>
              </w:rPr>
              <w:t>且单项合同金额  50-100万，每有1个得1分；100-200万，每有1个得2分；200万（含）以上，每有1个得3分。仅评4份业绩</w:t>
            </w:r>
            <w:r>
              <w:rPr>
                <w:rFonts w:hint="default" w:ascii="宋体" w:hAnsi="宋体" w:cs="宋体"/>
                <w:color w:val="auto"/>
                <w:sz w:val="21"/>
                <w:szCs w:val="21"/>
                <w:highlight w:val="none"/>
              </w:rPr>
              <w:t>，最高得</w:t>
            </w:r>
            <w:r>
              <w:rPr>
                <w:rFonts w:hint="eastAsia" w:ascii="宋体" w:hAnsi="宋体" w:cs="宋体"/>
                <w:color w:val="auto"/>
                <w:sz w:val="21"/>
                <w:szCs w:val="21"/>
                <w:highlight w:val="none"/>
                <w:lang w:val="en-US" w:eastAsia="zh-CN"/>
              </w:rPr>
              <w:t>12</w:t>
            </w:r>
            <w:r>
              <w:rPr>
                <w:rFonts w:hint="default" w:ascii="宋体" w:hAnsi="宋体" w:cs="宋体"/>
                <w:color w:val="auto"/>
                <w:sz w:val="21"/>
                <w:szCs w:val="21"/>
                <w:highlight w:val="none"/>
              </w:rPr>
              <w:t>分。</w:t>
            </w:r>
          </w:p>
        </w:tc>
        <w:tc>
          <w:tcPr>
            <w:tcW w:w="2776" w:type="dxa"/>
            <w:vAlign w:val="center"/>
          </w:tcPr>
          <w:p w14:paraId="79E9B18E">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①提供有效业绩合同（业绩合同中主要内容、标的、金额等清晰可见）及相对应的发票复印件；</w:t>
            </w:r>
          </w:p>
          <w:p w14:paraId="5AE5DB9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②时间以合同签订时间为准，金额以签约合同总价为准，发票金额须达到签约合同总价的50%及以上（发票的开具时间应在本采购公告发布日之前）；</w:t>
            </w:r>
          </w:p>
          <w:p w14:paraId="00CCB78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③如合同或发票不能体现采购内容、时间、金额的，须提供加盖原采购单位公章的证明材料；</w:t>
            </w:r>
          </w:p>
          <w:p w14:paraId="1FD2AF1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④所提供的材料复印件均须加盖投标人公章；</w:t>
            </w:r>
          </w:p>
          <w:p w14:paraId="12C18A82">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auto"/>
                <w:sz w:val="21"/>
                <w:szCs w:val="21"/>
                <w:highlight w:val="none"/>
              </w:rPr>
            </w:pPr>
            <w:r>
              <w:rPr>
                <w:rFonts w:hint="default" w:ascii="宋体" w:hAnsi="宋体" w:cs="宋体"/>
                <w:color w:val="auto"/>
                <w:sz w:val="21"/>
                <w:szCs w:val="21"/>
                <w:highlight w:val="none"/>
              </w:rPr>
              <w:t>⑤未按要求提供或材料不清晰的或无法证明的不得分。</w:t>
            </w:r>
          </w:p>
        </w:tc>
      </w:tr>
      <w:tr w14:paraId="78C1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Align w:val="center"/>
          </w:tcPr>
          <w:p w14:paraId="31AA312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b/>
                <w:bCs/>
                <w:color w:val="000000"/>
                <w:sz w:val="21"/>
                <w:szCs w:val="21"/>
              </w:rPr>
            </w:pPr>
            <w:r>
              <w:rPr>
                <w:rFonts w:hint="eastAsia" w:ascii="宋体" w:hAnsi="宋体" w:cs="宋体"/>
                <w:b/>
                <w:bCs/>
                <w:color w:val="000000"/>
                <w:sz w:val="21"/>
                <w:szCs w:val="21"/>
              </w:rPr>
              <w:t>3</w:t>
            </w:r>
          </w:p>
        </w:tc>
        <w:tc>
          <w:tcPr>
            <w:tcW w:w="9746" w:type="dxa"/>
            <w:gridSpan w:val="4"/>
            <w:vAlign w:val="center"/>
          </w:tcPr>
          <w:p w14:paraId="5D1F622B">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000000"/>
                <w:sz w:val="21"/>
                <w:szCs w:val="21"/>
              </w:rPr>
            </w:pPr>
            <w:r>
              <w:rPr>
                <w:rFonts w:hint="eastAsia" w:ascii="宋体" w:hAnsi="宋体" w:cs="宋体"/>
                <w:b/>
                <w:bCs/>
                <w:color w:val="000000"/>
                <w:sz w:val="21"/>
                <w:szCs w:val="21"/>
              </w:rPr>
              <w:t>技术方案：</w:t>
            </w:r>
            <w:r>
              <w:rPr>
                <w:rFonts w:hint="eastAsia" w:ascii="宋体" w:hAnsi="宋体" w:cs="宋体"/>
                <w:b/>
                <w:bCs/>
                <w:color w:val="000000"/>
                <w:sz w:val="21"/>
                <w:szCs w:val="21"/>
                <w:lang w:val="en-US" w:eastAsia="zh-CN"/>
              </w:rPr>
              <w:t>42</w:t>
            </w:r>
            <w:r>
              <w:rPr>
                <w:rFonts w:hint="eastAsia" w:ascii="宋体" w:hAnsi="宋体" w:cs="宋体"/>
                <w:b/>
                <w:bCs/>
                <w:color w:val="000000"/>
                <w:sz w:val="21"/>
                <w:szCs w:val="21"/>
              </w:rPr>
              <w:t>分</w:t>
            </w:r>
          </w:p>
        </w:tc>
      </w:tr>
      <w:tr w14:paraId="269F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258750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r>
              <w:rPr>
                <w:rFonts w:hint="eastAsia" w:ascii="宋体" w:hAnsi="宋体" w:cs="宋体"/>
                <w:color w:val="000000"/>
                <w:sz w:val="21"/>
                <w:szCs w:val="21"/>
              </w:rPr>
              <w:t>3.1</w:t>
            </w:r>
          </w:p>
        </w:tc>
        <w:tc>
          <w:tcPr>
            <w:tcW w:w="1305" w:type="dxa"/>
            <w:vAlign w:val="center"/>
          </w:tcPr>
          <w:p w14:paraId="70601362">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color w:val="000000"/>
                <w:sz w:val="21"/>
                <w:szCs w:val="21"/>
              </w:rPr>
            </w:pPr>
            <w:r>
              <w:rPr>
                <w:rFonts w:hint="eastAsia" w:ascii="宋体" w:hAnsi="宋体" w:cs="宋体"/>
                <w:color w:val="000000"/>
                <w:sz w:val="21"/>
                <w:szCs w:val="21"/>
              </w:rPr>
              <w:t>项目管理</w:t>
            </w:r>
          </w:p>
        </w:tc>
        <w:tc>
          <w:tcPr>
            <w:tcW w:w="840" w:type="dxa"/>
            <w:vAlign w:val="center"/>
          </w:tcPr>
          <w:p w14:paraId="2B036D3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bCs/>
                <w:color w:val="000000"/>
                <w:sz w:val="21"/>
                <w:szCs w:val="21"/>
              </w:rPr>
            </w:pPr>
            <w:r>
              <w:rPr>
                <w:rFonts w:hint="eastAsia" w:ascii="宋体" w:hAnsi="宋体" w:cs="宋体"/>
                <w:bCs/>
                <w:color w:val="000000"/>
                <w:sz w:val="21"/>
                <w:szCs w:val="21"/>
                <w:lang w:val="en-US" w:eastAsia="zh-CN"/>
              </w:rPr>
              <w:t>6</w:t>
            </w:r>
          </w:p>
        </w:tc>
        <w:tc>
          <w:tcPr>
            <w:tcW w:w="4825" w:type="dxa"/>
            <w:vAlign w:val="center"/>
          </w:tcPr>
          <w:p w14:paraId="44F36A15">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cs="宋体"/>
                <w:color w:val="000000"/>
                <w:sz w:val="21"/>
                <w:szCs w:val="21"/>
              </w:rPr>
              <w:t>投标人对项目管理的组织架构、项目管理办法、文档管理、质量控制等有完善、可行的管理方案，</w:t>
            </w:r>
            <w:r>
              <w:rPr>
                <w:rFonts w:hint="eastAsia" w:ascii="宋体" w:hAnsi="宋体" w:eastAsia="宋体" w:cs="宋体"/>
                <w:color w:val="000000"/>
                <w:szCs w:val="21"/>
              </w:rPr>
              <w:t>由评委横向对比，按下列标准打分：</w:t>
            </w:r>
          </w:p>
          <w:p w14:paraId="1504C040">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7FDF12B3">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382A26DA">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15B69172">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0869FC2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000000"/>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48BF182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p>
        </w:tc>
      </w:tr>
      <w:tr w14:paraId="064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F46233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color w:val="000000"/>
                <w:sz w:val="21"/>
                <w:szCs w:val="21"/>
              </w:rPr>
            </w:pPr>
            <w:r>
              <w:rPr>
                <w:rFonts w:hint="eastAsia" w:ascii="宋体" w:hAnsi="宋体" w:cs="宋体"/>
                <w:color w:val="000000"/>
                <w:sz w:val="21"/>
                <w:szCs w:val="21"/>
              </w:rPr>
              <w:t>3.2</w:t>
            </w:r>
          </w:p>
        </w:tc>
        <w:tc>
          <w:tcPr>
            <w:tcW w:w="1305" w:type="dxa"/>
            <w:vAlign w:val="center"/>
          </w:tcPr>
          <w:p w14:paraId="7800006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color w:val="000000"/>
                <w:sz w:val="21"/>
                <w:szCs w:val="21"/>
              </w:rPr>
            </w:pPr>
            <w:r>
              <w:rPr>
                <w:rFonts w:hint="eastAsia" w:ascii="宋体" w:hAnsi="宋体" w:cs="宋体"/>
                <w:bCs/>
                <w:snapToGrid w:val="0"/>
                <w:kern w:val="0"/>
                <w:sz w:val="21"/>
                <w:szCs w:val="21"/>
              </w:rPr>
              <w:t>开发实施方案</w:t>
            </w:r>
          </w:p>
        </w:tc>
        <w:tc>
          <w:tcPr>
            <w:tcW w:w="840" w:type="dxa"/>
            <w:vAlign w:val="center"/>
          </w:tcPr>
          <w:p w14:paraId="3753AA0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6</w:t>
            </w:r>
          </w:p>
        </w:tc>
        <w:tc>
          <w:tcPr>
            <w:tcW w:w="4825" w:type="dxa"/>
            <w:vAlign w:val="center"/>
          </w:tcPr>
          <w:p w14:paraId="3A15088F">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cs="宋体"/>
                <w:sz w:val="21"/>
                <w:szCs w:val="21"/>
              </w:rPr>
              <w:t>要求方案体现数字政府信息化项目建设、智慧园区运营平台、AI模型部署、人工智能场景的</w:t>
            </w:r>
            <w:r>
              <w:rPr>
                <w:rFonts w:hint="eastAsia" w:ascii="宋体" w:hAnsi="宋体" w:cs="宋体"/>
                <w:sz w:val="21"/>
                <w:szCs w:val="21"/>
                <w:lang w:val="en-US" w:eastAsia="zh-CN"/>
              </w:rPr>
              <w:t>开发实施</w:t>
            </w:r>
            <w:r>
              <w:rPr>
                <w:rFonts w:hint="eastAsia" w:ascii="宋体" w:hAnsi="宋体" w:cs="宋体"/>
                <w:sz w:val="21"/>
                <w:szCs w:val="21"/>
              </w:rPr>
              <w:t>经验。考察方案专业、完整、科学、高可操作性，</w:t>
            </w:r>
            <w:r>
              <w:rPr>
                <w:rFonts w:hint="eastAsia" w:ascii="宋体" w:hAnsi="宋体" w:eastAsia="宋体" w:cs="宋体"/>
                <w:color w:val="000000"/>
                <w:szCs w:val="21"/>
              </w:rPr>
              <w:t>由评委横向对比，按下列标准打分：</w:t>
            </w:r>
          </w:p>
          <w:p w14:paraId="27552E7E">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560FD9F6">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5B43E87D">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64660A7D">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1EA76F6E">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7703A4A1">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p>
        </w:tc>
      </w:tr>
      <w:tr w14:paraId="10DA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AA03FD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r>
              <w:rPr>
                <w:rFonts w:hint="eastAsia" w:ascii="宋体" w:hAnsi="宋体" w:cs="宋体"/>
                <w:color w:val="000000"/>
                <w:sz w:val="21"/>
                <w:szCs w:val="21"/>
              </w:rPr>
              <w:t>3.3</w:t>
            </w:r>
          </w:p>
        </w:tc>
        <w:tc>
          <w:tcPr>
            <w:tcW w:w="1305" w:type="dxa"/>
            <w:vAlign w:val="center"/>
          </w:tcPr>
          <w:p w14:paraId="21BD165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color w:val="000000"/>
                <w:sz w:val="21"/>
                <w:szCs w:val="21"/>
              </w:rPr>
            </w:pPr>
            <w:r>
              <w:rPr>
                <w:rFonts w:hint="eastAsia" w:ascii="宋体" w:hAnsi="宋体" w:cs="宋体"/>
                <w:color w:val="000000"/>
                <w:sz w:val="21"/>
                <w:szCs w:val="21"/>
              </w:rPr>
              <w:t>信息系统安全方案</w:t>
            </w:r>
          </w:p>
        </w:tc>
        <w:tc>
          <w:tcPr>
            <w:tcW w:w="840" w:type="dxa"/>
            <w:vAlign w:val="center"/>
          </w:tcPr>
          <w:p w14:paraId="62F52BA9">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bCs/>
                <w:color w:val="000000"/>
                <w:sz w:val="21"/>
                <w:szCs w:val="21"/>
              </w:rPr>
            </w:pPr>
            <w:r>
              <w:rPr>
                <w:rFonts w:hint="eastAsia" w:ascii="宋体" w:hAnsi="宋体" w:cs="宋体"/>
                <w:bCs/>
                <w:color w:val="000000"/>
                <w:sz w:val="21"/>
                <w:szCs w:val="21"/>
                <w:lang w:val="en-US" w:eastAsia="zh-CN"/>
              </w:rPr>
              <w:t>6</w:t>
            </w:r>
          </w:p>
        </w:tc>
        <w:tc>
          <w:tcPr>
            <w:tcW w:w="4825" w:type="dxa"/>
            <w:vAlign w:val="center"/>
          </w:tcPr>
          <w:p w14:paraId="4F6E3594">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cs="宋体"/>
                <w:color w:val="000000"/>
                <w:sz w:val="21"/>
                <w:szCs w:val="21"/>
              </w:rPr>
              <w:t>根据项目需求提供整体信息系统安全方案、包括方案的完整性、合理性，可行性、方案是否明确了备份措施，安全加固机制，具体实施细则等进行综合评分。</w:t>
            </w:r>
            <w:r>
              <w:rPr>
                <w:rFonts w:hint="eastAsia" w:ascii="宋体" w:hAnsi="宋体" w:eastAsia="宋体" w:cs="宋体"/>
                <w:color w:val="000000"/>
                <w:szCs w:val="21"/>
              </w:rPr>
              <w:t>由评委横向对比，按下列标准打分：</w:t>
            </w:r>
          </w:p>
          <w:p w14:paraId="10060A5C">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314DEFE2">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60D68DD5">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383084D6">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5DCE109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default" w:ascii="宋体" w:hAnsi="宋体" w:cs="宋体"/>
                <w:color w:val="000000"/>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1757DC5F">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p>
        </w:tc>
      </w:tr>
      <w:tr w14:paraId="75C4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dxa"/>
            <w:vAlign w:val="center"/>
          </w:tcPr>
          <w:p w14:paraId="0C03BD6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rPr>
              <w:t>3.</w:t>
            </w:r>
            <w:r>
              <w:rPr>
                <w:rFonts w:hint="eastAsia" w:ascii="宋体" w:hAnsi="宋体" w:cs="宋体"/>
                <w:color w:val="000000"/>
                <w:sz w:val="21"/>
                <w:szCs w:val="21"/>
                <w:lang w:val="en-US" w:eastAsia="zh-CN"/>
              </w:rPr>
              <w:t>4</w:t>
            </w:r>
          </w:p>
        </w:tc>
        <w:tc>
          <w:tcPr>
            <w:tcW w:w="1305" w:type="dxa"/>
            <w:vAlign w:val="center"/>
          </w:tcPr>
          <w:p w14:paraId="6825FBC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bCs/>
                <w:snapToGrid w:val="0"/>
                <w:kern w:val="0"/>
                <w:sz w:val="21"/>
                <w:szCs w:val="21"/>
              </w:rPr>
            </w:pPr>
            <w:r>
              <w:rPr>
                <w:rFonts w:hint="eastAsia" w:ascii="宋体" w:hAnsi="宋体" w:cs="宋体"/>
                <w:kern w:val="0"/>
                <w:sz w:val="21"/>
                <w:szCs w:val="21"/>
              </w:rPr>
              <w:t>售后服务方案</w:t>
            </w:r>
          </w:p>
        </w:tc>
        <w:tc>
          <w:tcPr>
            <w:tcW w:w="840" w:type="dxa"/>
            <w:vAlign w:val="center"/>
          </w:tcPr>
          <w:p w14:paraId="40084D0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宋体" w:hAnsi="宋体" w:cs="宋体"/>
                <w:kern w:val="0"/>
                <w:sz w:val="21"/>
                <w:szCs w:val="21"/>
              </w:rPr>
            </w:pPr>
            <w:r>
              <w:rPr>
                <w:rFonts w:hint="eastAsia" w:ascii="宋体" w:hAnsi="宋体" w:cs="宋体"/>
                <w:kern w:val="0"/>
                <w:sz w:val="21"/>
                <w:szCs w:val="21"/>
                <w:lang w:val="en-US" w:eastAsia="zh-CN"/>
              </w:rPr>
              <w:t>6</w:t>
            </w:r>
          </w:p>
        </w:tc>
        <w:tc>
          <w:tcPr>
            <w:tcW w:w="4825" w:type="dxa"/>
          </w:tcPr>
          <w:p w14:paraId="247E7756">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cs="宋体"/>
                <w:kern w:val="0"/>
                <w:sz w:val="21"/>
                <w:szCs w:val="21"/>
              </w:rPr>
              <w:t>根据投标人提供的售后服务方案进行评分，包括：免费质保期服务、响应时间、伴随服务、收费质保期服务等，</w:t>
            </w:r>
            <w:r>
              <w:rPr>
                <w:rFonts w:hint="eastAsia" w:ascii="宋体" w:hAnsi="宋体" w:eastAsia="宋体" w:cs="宋体"/>
                <w:color w:val="000000"/>
                <w:szCs w:val="21"/>
              </w:rPr>
              <w:t>由评委横向对比，按下列标准打分：</w:t>
            </w:r>
          </w:p>
          <w:p w14:paraId="08BB0D15">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66722324">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0E960AA7">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6ABDBD4C">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7BA0AB10">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cs="宋体"/>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0CE63C41">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sz w:val="21"/>
                <w:szCs w:val="21"/>
              </w:rPr>
            </w:pPr>
          </w:p>
        </w:tc>
      </w:tr>
      <w:tr w14:paraId="67BE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dxa"/>
            <w:vAlign w:val="center"/>
          </w:tcPr>
          <w:p w14:paraId="64A9959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3.5</w:t>
            </w:r>
          </w:p>
        </w:tc>
        <w:tc>
          <w:tcPr>
            <w:tcW w:w="1305" w:type="dxa"/>
            <w:vAlign w:val="center"/>
          </w:tcPr>
          <w:p w14:paraId="3C7279B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kern w:val="0"/>
                <w:sz w:val="21"/>
                <w:szCs w:val="21"/>
              </w:rPr>
            </w:pPr>
            <w:r>
              <w:rPr>
                <w:rFonts w:hint="eastAsia" w:ascii="宋体" w:hAnsi="宋体" w:eastAsia="宋体" w:cs="宋体"/>
                <w:color w:val="auto"/>
                <w:sz w:val="21"/>
                <w:szCs w:val="21"/>
                <w:highlight w:val="none"/>
              </w:rPr>
              <w:t>数据中台建设方案</w:t>
            </w:r>
          </w:p>
        </w:tc>
        <w:tc>
          <w:tcPr>
            <w:tcW w:w="840" w:type="dxa"/>
            <w:vAlign w:val="center"/>
          </w:tcPr>
          <w:p w14:paraId="4E4BE8D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4825" w:type="dxa"/>
          </w:tcPr>
          <w:p w14:paraId="1275FA17">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sz w:val="21"/>
                <w:szCs w:val="21"/>
                <w:highlight w:val="none"/>
                <w:lang w:eastAsia="zh-CN"/>
              </w:rPr>
              <w:t>阐述数据中台如何适用于企业的业务管理流程以及根据业务设计哪些数据服务</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如何实现集团已有和新建的系统均通过数据中台交互，保证数据完整性及复用性；如何通过中台实现接口复用，减少不规范的烟囱式的接口开发；要求对接子系统数不少于 15 个（子系统包含金蝶云星瀚、金蝶云苍穹、泛微 OA、苏文微电网管理平台、苏交科业务生产系统等），定制报表不少于 50 个</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根据以往的项目经验，提出中台的分期建设计划</w:t>
            </w:r>
            <w:r>
              <w:rPr>
                <w:rFonts w:hint="eastAsia" w:ascii="宋体" w:hAnsi="宋体" w:cs="宋体"/>
                <w:sz w:val="21"/>
                <w:szCs w:val="21"/>
                <w:highlight w:val="none"/>
                <w:lang w:eastAsia="zh-CN"/>
              </w:rPr>
              <w:t>，</w:t>
            </w:r>
            <w:r>
              <w:rPr>
                <w:rFonts w:hint="eastAsia" w:ascii="宋体" w:hAnsi="宋体" w:eastAsia="宋体" w:cs="宋体"/>
                <w:color w:val="000000"/>
                <w:szCs w:val="21"/>
              </w:rPr>
              <w:t>由评委横向对比，按下列标准打分：</w:t>
            </w:r>
          </w:p>
          <w:p w14:paraId="7B7FFF85">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4471DD21">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1A86A0DC">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6839C006">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37C8C13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cs="宋体"/>
                <w:kern w:val="0"/>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2DDD356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sz w:val="21"/>
                <w:szCs w:val="21"/>
              </w:rPr>
            </w:pPr>
          </w:p>
        </w:tc>
      </w:tr>
      <w:tr w14:paraId="641B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dxa"/>
            <w:vAlign w:val="center"/>
          </w:tcPr>
          <w:p w14:paraId="08A4718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3.6</w:t>
            </w:r>
          </w:p>
        </w:tc>
        <w:tc>
          <w:tcPr>
            <w:tcW w:w="1305" w:type="dxa"/>
            <w:vAlign w:val="center"/>
          </w:tcPr>
          <w:p w14:paraId="3A16F2B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kern w:val="0"/>
                <w:sz w:val="21"/>
                <w:szCs w:val="21"/>
              </w:rPr>
            </w:pPr>
            <w:r>
              <w:rPr>
                <w:rFonts w:hint="eastAsia" w:ascii="宋体" w:hAnsi="宋体" w:eastAsia="宋体" w:cs="宋体"/>
                <w:color w:val="auto"/>
                <w:sz w:val="21"/>
                <w:szCs w:val="21"/>
                <w:highlight w:val="none"/>
              </w:rPr>
              <w:t>智慧园区基础与应用建设方案</w:t>
            </w:r>
          </w:p>
        </w:tc>
        <w:tc>
          <w:tcPr>
            <w:tcW w:w="840" w:type="dxa"/>
            <w:vAlign w:val="center"/>
          </w:tcPr>
          <w:p w14:paraId="023551F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4825" w:type="dxa"/>
          </w:tcPr>
          <w:p w14:paraId="21C1F95C">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auto"/>
                <w:sz w:val="21"/>
                <w:szCs w:val="21"/>
                <w:highlight w:val="none"/>
                <w:lang w:eastAsia="zh-Hans"/>
              </w:rPr>
              <w:t>基础建设部分包括支撑智慧园区的端、网、云等内容；（端、网、云部分不在此次招标范围内，但供应商需要在方案中体现建设时的逻辑关系）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Hans"/>
              </w:rPr>
              <w:t>应用建设部分主要包括园区基础管理、数字化指挥中心、产业服务、企业服务、决策支撑等</w:t>
            </w:r>
            <w:r>
              <w:rPr>
                <w:rFonts w:hint="eastAsia" w:ascii="宋体" w:hAnsi="宋体" w:cs="宋体"/>
                <w:color w:val="auto"/>
                <w:sz w:val="21"/>
                <w:szCs w:val="21"/>
                <w:highlight w:val="none"/>
                <w:lang w:eastAsia="zh-CN"/>
              </w:rPr>
              <w:t>，</w:t>
            </w:r>
            <w:r>
              <w:rPr>
                <w:rFonts w:hint="eastAsia" w:ascii="宋体" w:hAnsi="宋体" w:eastAsia="宋体" w:cs="宋体"/>
                <w:color w:val="000000"/>
                <w:szCs w:val="21"/>
              </w:rPr>
              <w:t>由评委横向对比，按下列标准打分：</w:t>
            </w:r>
          </w:p>
          <w:p w14:paraId="696EBEDD">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22FA1DB3">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6DB2EEFA">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55B6A095">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33FE5132">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cs="宋体"/>
                <w:kern w:val="0"/>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7087D229">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sz w:val="21"/>
                <w:szCs w:val="21"/>
              </w:rPr>
            </w:pPr>
          </w:p>
        </w:tc>
      </w:tr>
      <w:tr w14:paraId="5817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dxa"/>
            <w:vAlign w:val="center"/>
          </w:tcPr>
          <w:p w14:paraId="252340A3">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3.7</w:t>
            </w:r>
          </w:p>
        </w:tc>
        <w:tc>
          <w:tcPr>
            <w:tcW w:w="1305" w:type="dxa"/>
            <w:vAlign w:val="center"/>
          </w:tcPr>
          <w:p w14:paraId="2A4289C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kern w:val="0"/>
                <w:sz w:val="21"/>
                <w:szCs w:val="21"/>
              </w:rPr>
            </w:pPr>
            <w:r>
              <w:rPr>
                <w:rFonts w:hint="eastAsia" w:ascii="宋体" w:hAnsi="宋体" w:eastAsia="宋体" w:cs="宋体"/>
                <w:color w:val="auto"/>
                <w:sz w:val="21"/>
                <w:szCs w:val="21"/>
                <w:highlight w:val="none"/>
              </w:rPr>
              <w:t>智慧园区未来的建设应用构想</w:t>
            </w:r>
          </w:p>
        </w:tc>
        <w:tc>
          <w:tcPr>
            <w:tcW w:w="840" w:type="dxa"/>
            <w:vAlign w:val="center"/>
          </w:tcPr>
          <w:p w14:paraId="2651289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w:t>
            </w:r>
          </w:p>
        </w:tc>
        <w:tc>
          <w:tcPr>
            <w:tcW w:w="4825" w:type="dxa"/>
          </w:tcPr>
          <w:p w14:paraId="5431F269">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lang w:eastAsia="zh-Hans"/>
              </w:rPr>
              <w:t>应在建设方案中提出智慧园区未来的建设应用构想，包括但不限于AI大模型等新技术在智慧园区中的应用等</w:t>
            </w:r>
            <w:r>
              <w:rPr>
                <w:rFonts w:hint="eastAsia" w:ascii="宋体" w:hAnsi="宋体" w:cs="宋体"/>
                <w:color w:val="auto"/>
                <w:sz w:val="21"/>
                <w:szCs w:val="21"/>
                <w:highlight w:val="none"/>
                <w:lang w:eastAsia="zh-CN"/>
              </w:rPr>
              <w:t>，</w:t>
            </w:r>
            <w:r>
              <w:rPr>
                <w:rFonts w:hint="eastAsia" w:ascii="宋体" w:hAnsi="宋体" w:eastAsia="宋体" w:cs="宋体"/>
                <w:color w:val="000000"/>
                <w:szCs w:val="21"/>
              </w:rPr>
              <w:t>由评委横向对比，按下列标准打分：</w:t>
            </w:r>
          </w:p>
          <w:p w14:paraId="7DAE3E0F">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优（取有效供应商数量的 20%，按四舍五入取整）：</w:t>
            </w:r>
            <w:r>
              <w:rPr>
                <w:rFonts w:hint="eastAsia" w:ascii="宋体" w:hAnsi="宋体" w:cs="宋体"/>
                <w:color w:val="000000"/>
                <w:szCs w:val="21"/>
                <w:lang w:val="en-US" w:eastAsia="zh-CN"/>
              </w:rPr>
              <w:t>6</w:t>
            </w:r>
            <w:r>
              <w:rPr>
                <w:rFonts w:hint="eastAsia" w:ascii="宋体" w:hAnsi="宋体" w:eastAsia="宋体" w:cs="宋体"/>
                <w:color w:val="000000"/>
                <w:szCs w:val="21"/>
              </w:rPr>
              <w:t>分；</w:t>
            </w:r>
          </w:p>
          <w:p w14:paraId="1CECFA30">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良（取有效供应商数量的 20%，按四舍五入取整）：</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p w14:paraId="058E44AE">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中（取有效供应商数量的 20%，按四舍五入取整）：</w:t>
            </w:r>
            <w:r>
              <w:rPr>
                <w:rFonts w:hint="eastAsia" w:ascii="宋体" w:hAnsi="宋体" w:cs="宋体"/>
                <w:color w:val="000000"/>
                <w:szCs w:val="21"/>
                <w:lang w:val="en-US" w:eastAsia="zh-CN"/>
              </w:rPr>
              <w:t>2</w:t>
            </w:r>
            <w:r>
              <w:rPr>
                <w:rFonts w:hint="eastAsia" w:ascii="宋体" w:hAnsi="宋体" w:eastAsia="宋体" w:cs="宋体"/>
                <w:color w:val="000000"/>
                <w:szCs w:val="21"/>
              </w:rPr>
              <w:t>分；</w:t>
            </w:r>
          </w:p>
          <w:p w14:paraId="403F0418">
            <w:pPr>
              <w:keepNext w:val="0"/>
              <w:keepLines w:val="0"/>
              <w:suppressLineNumbers w:val="0"/>
              <w:spacing w:before="0" w:beforeAutospacing="0" w:after="0" w:afterAutospacing="0"/>
              <w:ind w:left="0" w:right="0"/>
              <w:rPr>
                <w:rFonts w:hint="eastAsia" w:ascii="宋体" w:hAnsi="宋体" w:eastAsia="宋体" w:cs="宋体"/>
                <w:color w:val="000000"/>
                <w:szCs w:val="21"/>
              </w:rPr>
            </w:pPr>
            <w:r>
              <w:rPr>
                <w:rFonts w:hint="eastAsia" w:ascii="宋体" w:hAnsi="宋体" w:eastAsia="宋体" w:cs="宋体"/>
                <w:color w:val="000000"/>
                <w:szCs w:val="21"/>
              </w:rPr>
              <w:t>差（剩余提供该部分评分内容的有效供应商）：</w:t>
            </w:r>
            <w:r>
              <w:rPr>
                <w:rFonts w:hint="eastAsia" w:ascii="宋体" w:hAnsi="宋体" w:cs="宋体"/>
                <w:color w:val="000000"/>
                <w:szCs w:val="21"/>
                <w:lang w:val="en-US" w:eastAsia="zh-CN"/>
              </w:rPr>
              <w:t>1</w:t>
            </w:r>
            <w:r>
              <w:rPr>
                <w:rFonts w:hint="eastAsia" w:ascii="宋体" w:hAnsi="宋体" w:eastAsia="宋体" w:cs="宋体"/>
                <w:color w:val="000000"/>
                <w:szCs w:val="21"/>
              </w:rPr>
              <w:t>分；</w:t>
            </w:r>
          </w:p>
          <w:p w14:paraId="64225C19">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cs="宋体"/>
                <w:kern w:val="0"/>
                <w:sz w:val="21"/>
                <w:szCs w:val="21"/>
              </w:rPr>
            </w:pPr>
            <w:r>
              <w:rPr>
                <w:rFonts w:hint="eastAsia" w:ascii="宋体" w:hAnsi="宋体" w:eastAsia="宋体" w:cs="宋体"/>
                <w:color w:val="000000"/>
                <w:szCs w:val="21"/>
              </w:rPr>
              <w:t>无(未提供该部分评分内容的有效供应商)：0分。</w:t>
            </w:r>
          </w:p>
        </w:tc>
        <w:tc>
          <w:tcPr>
            <w:tcW w:w="2776" w:type="dxa"/>
            <w:vAlign w:val="center"/>
          </w:tcPr>
          <w:p w14:paraId="7B1760F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sz w:val="21"/>
                <w:szCs w:val="21"/>
              </w:rPr>
            </w:pPr>
          </w:p>
        </w:tc>
      </w:tr>
      <w:tr w14:paraId="6C1D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dxa"/>
            <w:vAlign w:val="center"/>
          </w:tcPr>
          <w:p w14:paraId="61A454B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firstLineChars="0"/>
              <w:jc w:val="center"/>
              <w:textAlignment w:val="auto"/>
              <w:rPr>
                <w:rFonts w:hint="eastAsia" w:ascii="宋体" w:hAnsi="宋体" w:eastAsia="宋体" w:cs="宋体"/>
                <w:color w:val="000000"/>
                <w:sz w:val="21"/>
                <w:szCs w:val="21"/>
                <w:lang w:val="en-US" w:eastAsia="zh-CN"/>
              </w:rPr>
            </w:pPr>
            <w:r>
              <w:rPr>
                <w:rFonts w:hint="eastAsia" w:ascii="宋体" w:hAnsi="宋体" w:cs="宋体"/>
                <w:b/>
                <w:bCs/>
                <w:color w:val="000000"/>
                <w:sz w:val="21"/>
                <w:szCs w:val="21"/>
                <w:lang w:val="en-US" w:eastAsia="zh-CN"/>
              </w:rPr>
              <w:t>4</w:t>
            </w:r>
          </w:p>
        </w:tc>
        <w:tc>
          <w:tcPr>
            <w:tcW w:w="9746" w:type="dxa"/>
            <w:gridSpan w:val="4"/>
            <w:vAlign w:val="center"/>
          </w:tcPr>
          <w:p w14:paraId="5C7997E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sz w:val="21"/>
                <w:szCs w:val="21"/>
                <w:lang w:val="en-US" w:eastAsia="zh-CN"/>
              </w:rPr>
            </w:pPr>
            <w:r>
              <w:rPr>
                <w:rFonts w:hint="eastAsia" w:ascii="宋体" w:hAnsi="宋体" w:cs="宋体"/>
                <w:b/>
                <w:bCs/>
                <w:color w:val="000000"/>
                <w:sz w:val="21"/>
                <w:szCs w:val="21"/>
                <w:lang w:val="en-US" w:eastAsia="zh-CN"/>
              </w:rPr>
              <w:t>功能演示</w:t>
            </w:r>
            <w:r>
              <w:rPr>
                <w:rFonts w:hint="eastAsia" w:ascii="宋体" w:hAnsi="宋体" w:cs="宋体"/>
                <w:b/>
                <w:bCs/>
                <w:color w:val="000000"/>
                <w:sz w:val="21"/>
                <w:szCs w:val="21"/>
              </w:rPr>
              <w:t>：</w:t>
            </w:r>
            <w:r>
              <w:rPr>
                <w:rFonts w:hint="eastAsia" w:ascii="宋体" w:hAnsi="宋体" w:cs="宋体"/>
                <w:b/>
                <w:bCs/>
                <w:color w:val="000000"/>
                <w:sz w:val="21"/>
                <w:szCs w:val="21"/>
                <w:lang w:val="en-US" w:eastAsia="zh-CN"/>
              </w:rPr>
              <w:t>14</w:t>
            </w:r>
            <w:r>
              <w:rPr>
                <w:rFonts w:hint="eastAsia" w:ascii="宋体" w:hAnsi="宋体" w:cs="宋体"/>
                <w:b/>
                <w:bCs/>
                <w:color w:val="000000"/>
                <w:sz w:val="21"/>
                <w:szCs w:val="21"/>
              </w:rPr>
              <w:t>分</w:t>
            </w:r>
          </w:p>
        </w:tc>
      </w:tr>
      <w:tr w14:paraId="4CE3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6" w:type="dxa"/>
            <w:vAlign w:val="center"/>
          </w:tcPr>
          <w:p w14:paraId="475FF05A">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default" w:ascii="宋体" w:hAnsi="宋体" w:cs="宋体"/>
                <w:color w:val="0000FF"/>
                <w:sz w:val="21"/>
                <w:szCs w:val="21"/>
                <w:lang w:val="en-US" w:eastAsia="zh-CN"/>
              </w:rPr>
            </w:pPr>
            <w:r>
              <w:rPr>
                <w:rFonts w:hint="eastAsia" w:ascii="宋体" w:hAnsi="宋体" w:cs="宋体"/>
                <w:color w:val="auto"/>
                <w:sz w:val="21"/>
                <w:szCs w:val="21"/>
                <w:highlight w:val="none"/>
                <w:lang w:val="en-US" w:eastAsia="zh-Hans"/>
              </w:rPr>
              <w:t>4.1</w:t>
            </w:r>
          </w:p>
        </w:tc>
        <w:tc>
          <w:tcPr>
            <w:tcW w:w="1305" w:type="dxa"/>
            <w:vAlign w:val="center"/>
          </w:tcPr>
          <w:p w14:paraId="6897D333">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eastAsia="宋体" w:cs="宋体"/>
                <w:color w:val="0000FF"/>
                <w:sz w:val="21"/>
                <w:szCs w:val="21"/>
                <w:highlight w:val="green"/>
                <w:lang w:val="en-US" w:eastAsia="zh-CN"/>
              </w:rPr>
            </w:pPr>
            <w:r>
              <w:rPr>
                <w:rFonts w:hint="eastAsia" w:ascii="宋体" w:hAnsi="宋体" w:cs="宋体"/>
                <w:color w:val="auto"/>
                <w:sz w:val="21"/>
                <w:szCs w:val="21"/>
                <w:highlight w:val="none"/>
                <w:lang w:val="en-US" w:eastAsia="zh-Hans"/>
              </w:rPr>
              <w:t>功能演示</w:t>
            </w:r>
            <w:r>
              <w:rPr>
                <w:rFonts w:hint="eastAsia" w:ascii="宋体" w:hAnsi="宋体" w:cs="宋体"/>
                <w:color w:val="auto"/>
                <w:sz w:val="21"/>
                <w:szCs w:val="21"/>
                <w:highlight w:val="none"/>
                <w:lang w:val="en-US" w:eastAsia="zh-CN"/>
              </w:rPr>
              <w:t>（每家投标人演示时长限时15分钟）</w:t>
            </w:r>
          </w:p>
        </w:tc>
        <w:tc>
          <w:tcPr>
            <w:tcW w:w="840" w:type="dxa"/>
            <w:vAlign w:val="center"/>
          </w:tcPr>
          <w:p w14:paraId="6A66694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宋体" w:hAnsi="宋体" w:eastAsia="宋体" w:cs="宋体"/>
                <w:color w:val="0000FF"/>
                <w:kern w:val="0"/>
                <w:sz w:val="21"/>
                <w:szCs w:val="21"/>
                <w:highlight w:val="green"/>
                <w:lang w:val="en-US" w:eastAsia="zh-CN"/>
              </w:rPr>
            </w:pPr>
            <w:r>
              <w:rPr>
                <w:rFonts w:hint="eastAsia" w:ascii="宋体" w:hAnsi="宋体" w:cs="宋体"/>
                <w:color w:val="auto"/>
                <w:kern w:val="2"/>
                <w:sz w:val="21"/>
                <w:szCs w:val="21"/>
                <w:highlight w:val="none"/>
                <w:lang w:val="en-US" w:eastAsia="zh-CN"/>
              </w:rPr>
              <w:t>14</w:t>
            </w:r>
          </w:p>
        </w:tc>
        <w:tc>
          <w:tcPr>
            <w:tcW w:w="4825" w:type="dxa"/>
          </w:tcPr>
          <w:p w14:paraId="55199A7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Hans"/>
              </w:rPr>
            </w:pPr>
            <w:r>
              <w:rPr>
                <w:rFonts w:hint="eastAsia" w:ascii="宋体" w:hAnsi="宋体" w:eastAsia="宋体" w:cs="宋体"/>
                <w:color w:val="auto"/>
                <w:sz w:val="21"/>
                <w:szCs w:val="21"/>
                <w:highlight w:val="none"/>
                <w:lang w:eastAsia="zh-Hans"/>
              </w:rPr>
              <w:t>供应商分别对以下模块进行功能演示：</w:t>
            </w:r>
          </w:p>
          <w:p w14:paraId="0F5DD53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CN"/>
              </w:rPr>
            </w:pPr>
            <w:r>
              <w:rPr>
                <w:rFonts w:hint="eastAsia" w:ascii="宋体" w:hAnsi="宋体" w:eastAsia="宋体" w:cs="宋体"/>
                <w:color w:val="auto"/>
                <w:sz w:val="21"/>
                <w:szCs w:val="21"/>
                <w:highlight w:val="none"/>
                <w:lang w:eastAsia="zh-Hans"/>
              </w:rPr>
              <w:t>1.数据中台</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441B1208">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CN"/>
              </w:rPr>
            </w:pPr>
            <w:r>
              <w:rPr>
                <w:rFonts w:hint="eastAsia" w:ascii="宋体" w:hAnsi="宋体" w:eastAsia="宋体" w:cs="宋体"/>
                <w:color w:val="auto"/>
                <w:sz w:val="21"/>
                <w:szCs w:val="21"/>
                <w:highlight w:val="none"/>
                <w:lang w:eastAsia="zh-Hans"/>
              </w:rPr>
              <w:t>2.数字化指挥中心</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038DAB34">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Hans"/>
              </w:rPr>
            </w:pPr>
            <w:r>
              <w:rPr>
                <w:rFonts w:hint="eastAsia" w:ascii="宋体" w:hAnsi="宋体" w:eastAsia="宋体" w:cs="宋体"/>
                <w:color w:val="auto"/>
                <w:sz w:val="21"/>
                <w:szCs w:val="21"/>
                <w:highlight w:val="none"/>
                <w:lang w:eastAsia="zh-Hans"/>
              </w:rPr>
              <w:t>3.园区基础运营管理</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582F2455">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Hans"/>
              </w:rPr>
            </w:pPr>
            <w:r>
              <w:rPr>
                <w:rFonts w:hint="eastAsia" w:ascii="宋体" w:hAnsi="宋体" w:eastAsia="宋体" w:cs="宋体"/>
                <w:color w:val="auto"/>
                <w:sz w:val="21"/>
                <w:szCs w:val="21"/>
                <w:highlight w:val="none"/>
                <w:lang w:eastAsia="zh-Hans"/>
              </w:rPr>
              <w:t>4.产业服务模块</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7B2D10D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Hans"/>
              </w:rPr>
            </w:pPr>
            <w:r>
              <w:rPr>
                <w:rFonts w:hint="eastAsia" w:ascii="宋体" w:hAnsi="宋体" w:eastAsia="宋体" w:cs="宋体"/>
                <w:color w:val="auto"/>
                <w:sz w:val="21"/>
                <w:szCs w:val="21"/>
                <w:highlight w:val="none"/>
                <w:lang w:eastAsia="zh-Hans"/>
              </w:rPr>
              <w:t>5.企业服务</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3F268191">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Hans"/>
              </w:rPr>
            </w:pPr>
            <w:r>
              <w:rPr>
                <w:rFonts w:hint="eastAsia" w:ascii="宋体" w:hAnsi="宋体" w:eastAsia="宋体" w:cs="宋体"/>
                <w:color w:val="auto"/>
                <w:sz w:val="21"/>
                <w:szCs w:val="21"/>
                <w:highlight w:val="none"/>
                <w:lang w:eastAsia="zh-Hans"/>
              </w:rPr>
              <w:t>6.决策支撑</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0F1A108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default" w:ascii="宋体" w:hAnsi="宋体" w:eastAsia="宋体" w:cs="宋体"/>
                <w:color w:val="auto"/>
                <w:sz w:val="21"/>
                <w:szCs w:val="20"/>
                <w:highlight w:val="none"/>
                <w:lang w:eastAsia="zh-Hans"/>
              </w:rPr>
            </w:pPr>
            <w:r>
              <w:rPr>
                <w:rFonts w:hint="eastAsia" w:ascii="宋体" w:hAnsi="宋体" w:eastAsia="宋体" w:cs="宋体"/>
                <w:color w:val="auto"/>
                <w:sz w:val="21"/>
                <w:szCs w:val="21"/>
                <w:highlight w:val="none"/>
                <w:lang w:eastAsia="zh-Hans"/>
              </w:rPr>
              <w:t>7.移动端应用</w:t>
            </w:r>
            <w:r>
              <w:rPr>
                <w:rFonts w:hint="eastAsia" w:ascii="宋体" w:hAnsi="宋体" w:cs="宋体"/>
                <w:color w:val="auto"/>
                <w:sz w:val="21"/>
                <w:szCs w:val="21"/>
                <w:highlight w:val="none"/>
                <w:lang w:eastAsia="zh-CN"/>
              </w:rPr>
              <w:t>（</w:t>
            </w:r>
            <w:r>
              <w:rPr>
                <w:rFonts w:hint="eastAsia" w:ascii="宋体" w:hAnsi="宋体" w:eastAsia="宋体" w:cs="宋体"/>
                <w:color w:val="000000"/>
                <w:sz w:val="21"/>
                <w:szCs w:val="21"/>
                <w:lang w:val="en-US" w:eastAsia="zh-CN" w:bidi="ar"/>
              </w:rPr>
              <w:t>需提供演示视频）</w:t>
            </w:r>
          </w:p>
          <w:p w14:paraId="6658ED54">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eastAsia="宋体" w:cs="宋体"/>
                <w:color w:val="0000FF"/>
                <w:sz w:val="21"/>
                <w:szCs w:val="21"/>
                <w:highlight w:val="green"/>
                <w:lang w:eastAsia="zh-CN"/>
              </w:rPr>
            </w:pPr>
            <w:r>
              <w:rPr>
                <w:rFonts w:hint="eastAsia" w:ascii="宋体" w:hAnsi="宋体" w:eastAsia="宋体" w:cs="宋体"/>
                <w:color w:val="auto"/>
                <w:sz w:val="21"/>
                <w:szCs w:val="21"/>
                <w:highlight w:val="none"/>
                <w:lang w:eastAsia="zh-Hans"/>
              </w:rPr>
              <w:t>搭建数据中台测试环境，数据中台测试环境需包括但不限于 Mysql，SQL server，PostgreSQL 等数据库类型，并通过基于 AI 大模型的应用进行数据分析、调度处理等，最终形成对应的业务场景应用（包含可视化驾驶舱展示、自定义报表生成等），演示内容至少包括子系统数据汇聚到中台并形成报表、报表规则支持自定义、实现 OA 与业务子系统对接场景、实现财务与业务子系统对接场景），</w:t>
            </w:r>
            <w:r>
              <w:rPr>
                <w:rFonts w:hint="eastAsia" w:ascii="宋体" w:hAnsi="宋体" w:eastAsia="宋体" w:cs="宋体"/>
                <w:b/>
                <w:bCs/>
                <w:color w:val="auto"/>
                <w:sz w:val="21"/>
                <w:szCs w:val="21"/>
                <w:highlight w:val="none"/>
                <w:lang w:eastAsia="zh-Hans"/>
              </w:rPr>
              <w:t>根据投标人</w:t>
            </w:r>
            <w:r>
              <w:rPr>
                <w:rFonts w:hint="eastAsia" w:ascii="宋体" w:hAnsi="宋体" w:cs="宋体"/>
                <w:b/>
                <w:bCs/>
                <w:color w:val="auto"/>
                <w:sz w:val="21"/>
                <w:szCs w:val="21"/>
                <w:highlight w:val="none"/>
                <w:lang w:val="en-US" w:eastAsia="zh-CN"/>
              </w:rPr>
              <w:t>提供对应演示视频</w:t>
            </w:r>
            <w:r>
              <w:rPr>
                <w:rFonts w:hint="eastAsia" w:ascii="宋体" w:hAnsi="宋体" w:cs="宋体"/>
                <w:b/>
                <w:bCs/>
                <w:color w:val="auto"/>
                <w:sz w:val="21"/>
                <w:szCs w:val="21"/>
                <w:highlight w:val="none"/>
                <w:lang w:eastAsia="zh-Hans"/>
              </w:rPr>
              <w:t>。</w:t>
            </w:r>
            <w:r>
              <w:rPr>
                <w:rFonts w:hint="eastAsia" w:ascii="宋体" w:hAnsi="宋体" w:eastAsia="宋体" w:cs="宋体"/>
                <w:b/>
                <w:bCs/>
                <w:color w:val="auto"/>
                <w:sz w:val="21"/>
                <w:szCs w:val="21"/>
                <w:highlight w:val="none"/>
                <w:lang w:eastAsia="zh-Hans"/>
              </w:rPr>
              <w:t>以上</w:t>
            </w:r>
            <w:r>
              <w:rPr>
                <w:rFonts w:hint="eastAsia" w:ascii="宋体" w:hAnsi="宋体" w:cs="宋体"/>
                <w:b/>
                <w:bCs/>
                <w:color w:val="auto"/>
                <w:sz w:val="21"/>
                <w:szCs w:val="21"/>
                <w:highlight w:val="none"/>
                <w:lang w:val="en-US" w:eastAsia="zh-Hans"/>
              </w:rPr>
              <w:t>有一项满足</w:t>
            </w:r>
            <w:r>
              <w:rPr>
                <w:rFonts w:hint="eastAsia" w:ascii="宋体" w:hAnsi="宋体" w:eastAsia="宋体" w:cs="宋体"/>
                <w:b/>
                <w:bCs/>
                <w:color w:val="auto"/>
                <w:sz w:val="21"/>
                <w:szCs w:val="21"/>
                <w:highlight w:val="none"/>
                <w:lang w:eastAsia="zh-Hans"/>
              </w:rPr>
              <w:t>功能要求的得</w:t>
            </w:r>
            <w:r>
              <w:rPr>
                <w:rFonts w:hint="eastAsia" w:ascii="宋体" w:hAnsi="宋体" w:cs="宋体"/>
                <w:b/>
                <w:bCs/>
                <w:color w:val="auto"/>
                <w:sz w:val="21"/>
                <w:szCs w:val="21"/>
                <w:highlight w:val="none"/>
                <w:lang w:eastAsia="zh-CN"/>
              </w:rPr>
              <w:t>2</w:t>
            </w:r>
            <w:r>
              <w:rPr>
                <w:rFonts w:hint="eastAsia" w:ascii="宋体" w:hAnsi="宋体" w:eastAsia="宋体" w:cs="宋体"/>
                <w:b/>
                <w:bCs/>
                <w:color w:val="auto"/>
                <w:sz w:val="21"/>
                <w:szCs w:val="21"/>
                <w:highlight w:val="none"/>
                <w:lang w:eastAsia="zh-Hans"/>
              </w:rPr>
              <w:t>分，本项最高得</w:t>
            </w:r>
            <w:r>
              <w:rPr>
                <w:rFonts w:hint="eastAsia" w:ascii="宋体" w:hAnsi="宋体" w:cs="宋体"/>
                <w:b/>
                <w:bCs/>
                <w:color w:val="auto"/>
                <w:sz w:val="21"/>
                <w:szCs w:val="21"/>
                <w:highlight w:val="none"/>
                <w:lang w:eastAsia="zh-CN"/>
              </w:rPr>
              <w:t>1</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Hans"/>
              </w:rPr>
              <w:t>分。</w:t>
            </w:r>
          </w:p>
        </w:tc>
        <w:tc>
          <w:tcPr>
            <w:tcW w:w="2776" w:type="dxa"/>
            <w:vAlign w:val="center"/>
          </w:tcPr>
          <w:p w14:paraId="1ED1803E">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cs="宋体"/>
                <w:sz w:val="21"/>
                <w:szCs w:val="21"/>
              </w:rPr>
            </w:pPr>
          </w:p>
        </w:tc>
      </w:tr>
      <w:tr w14:paraId="1CFF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151" w:type="dxa"/>
            <w:gridSpan w:val="2"/>
            <w:vAlign w:val="center"/>
          </w:tcPr>
          <w:p w14:paraId="1B1969D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r>
              <w:rPr>
                <w:rFonts w:hint="eastAsia" w:ascii="宋体" w:hAnsi="宋体" w:cs="宋体"/>
                <w:color w:val="000000"/>
                <w:sz w:val="21"/>
                <w:szCs w:val="21"/>
              </w:rPr>
              <w:t>合计</w:t>
            </w:r>
          </w:p>
        </w:tc>
        <w:tc>
          <w:tcPr>
            <w:tcW w:w="840" w:type="dxa"/>
            <w:vAlign w:val="center"/>
          </w:tcPr>
          <w:p w14:paraId="1E31722D">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28"/>
              <w:jc w:val="center"/>
              <w:textAlignment w:val="auto"/>
              <w:rPr>
                <w:rFonts w:hint="eastAsia" w:ascii="宋体" w:hAnsi="宋体" w:cs="宋体"/>
                <w:color w:val="000000"/>
                <w:sz w:val="21"/>
                <w:szCs w:val="21"/>
              </w:rPr>
            </w:pPr>
            <w:r>
              <w:rPr>
                <w:rFonts w:hint="eastAsia" w:ascii="宋体" w:hAnsi="宋体" w:cs="宋体"/>
                <w:color w:val="000000"/>
                <w:sz w:val="21"/>
                <w:szCs w:val="21"/>
              </w:rPr>
              <w:t>100</w:t>
            </w:r>
          </w:p>
        </w:tc>
        <w:tc>
          <w:tcPr>
            <w:tcW w:w="7601" w:type="dxa"/>
            <w:gridSpan w:val="2"/>
            <w:vAlign w:val="center"/>
          </w:tcPr>
          <w:p w14:paraId="525D923F">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sz w:val="21"/>
                <w:szCs w:val="21"/>
              </w:rPr>
            </w:pPr>
          </w:p>
        </w:tc>
      </w:tr>
      <w:bookmarkEnd w:id="2"/>
      <w:bookmarkEnd w:id="3"/>
    </w:tbl>
    <w:p w14:paraId="3D8AF17C">
      <w:pPr>
        <w:autoSpaceDE w:val="0"/>
        <w:autoSpaceDN w:val="0"/>
        <w:spacing w:line="500" w:lineRule="exact"/>
        <w:rPr>
          <w:rFonts w:hint="eastAsia" w:ascii="宋体" w:hAnsi="宋体" w:cs="宋体"/>
          <w:b/>
          <w:bCs/>
          <w:szCs w:val="21"/>
        </w:rPr>
      </w:pPr>
      <w:r>
        <w:rPr>
          <w:rFonts w:hint="eastAsia" w:ascii="宋体" w:hAnsi="宋体" w:cs="宋体"/>
          <w:b/>
          <w:bCs/>
          <w:szCs w:val="21"/>
        </w:rPr>
        <w:t>三、评标细则使用说明：</w:t>
      </w:r>
    </w:p>
    <w:p w14:paraId="219F6E89">
      <w:pPr>
        <w:autoSpaceDE w:val="0"/>
        <w:autoSpaceDN w:val="0"/>
        <w:spacing w:line="500" w:lineRule="exact"/>
        <w:rPr>
          <w:rFonts w:hint="eastAsia" w:ascii="宋体" w:hAnsi="宋体" w:cs="宋体"/>
          <w:b w:val="0"/>
          <w:bCs w:val="0"/>
          <w:szCs w:val="21"/>
        </w:rPr>
      </w:pPr>
      <w:r>
        <w:rPr>
          <w:rFonts w:hint="eastAsia" w:ascii="宋体" w:hAnsi="宋体" w:cs="宋体"/>
          <w:b w:val="0"/>
          <w:bCs w:val="0"/>
          <w:szCs w:val="21"/>
        </w:rPr>
        <w:t>1、评标程序：1）初步评审（包括符合性审查、资格审查）；2）清标；3）客观分评审；4）</w:t>
      </w:r>
      <w:r>
        <w:rPr>
          <w:rFonts w:hint="eastAsia" w:ascii="宋体" w:hAnsi="宋体" w:cs="宋体"/>
          <w:b w:val="0"/>
          <w:bCs w:val="0"/>
          <w:szCs w:val="21"/>
          <w:lang w:val="en-US" w:eastAsia="zh-CN"/>
        </w:rPr>
        <w:t>技术方案评审；5）功能演示评审；6）</w:t>
      </w:r>
      <w:r>
        <w:rPr>
          <w:rFonts w:hint="eastAsia" w:ascii="宋体" w:hAnsi="宋体" w:cs="宋体"/>
          <w:b w:val="0"/>
          <w:bCs w:val="0"/>
          <w:szCs w:val="21"/>
        </w:rPr>
        <w:t>投标报价评审；</w:t>
      </w:r>
      <w:r>
        <w:rPr>
          <w:rFonts w:hint="eastAsia" w:ascii="宋体" w:hAnsi="宋体" w:cs="宋体"/>
          <w:b w:val="0"/>
          <w:bCs w:val="0"/>
          <w:szCs w:val="21"/>
          <w:lang w:val="en-US" w:eastAsia="zh-CN"/>
        </w:rPr>
        <w:t>7</w:t>
      </w:r>
      <w:r>
        <w:rPr>
          <w:rFonts w:hint="eastAsia" w:ascii="宋体" w:hAnsi="宋体" w:cs="宋体"/>
          <w:b w:val="0"/>
          <w:bCs w:val="0"/>
          <w:szCs w:val="21"/>
        </w:rPr>
        <w:t>）汇总得分；</w:t>
      </w:r>
      <w:r>
        <w:rPr>
          <w:rFonts w:hint="eastAsia" w:ascii="宋体" w:hAnsi="宋体" w:cs="宋体"/>
          <w:b w:val="0"/>
          <w:bCs w:val="0"/>
          <w:szCs w:val="21"/>
          <w:lang w:val="en-US" w:eastAsia="zh-CN"/>
        </w:rPr>
        <w:t>8</w:t>
      </w:r>
      <w:r>
        <w:rPr>
          <w:rFonts w:hint="eastAsia" w:ascii="宋体" w:hAnsi="宋体" w:cs="宋体"/>
          <w:b w:val="0"/>
          <w:bCs w:val="0"/>
          <w:szCs w:val="21"/>
        </w:rPr>
        <w:t>）定标。</w:t>
      </w:r>
    </w:p>
    <w:p w14:paraId="32DF4B8A">
      <w:pPr>
        <w:autoSpaceDE w:val="0"/>
        <w:autoSpaceDN w:val="0"/>
        <w:spacing w:line="500" w:lineRule="exact"/>
        <w:rPr>
          <w:rFonts w:hint="eastAsia" w:ascii="宋体" w:hAnsi="宋体" w:cs="宋体"/>
          <w:b w:val="0"/>
          <w:bCs w:val="0"/>
          <w:szCs w:val="21"/>
        </w:rPr>
      </w:pPr>
      <w:r>
        <w:rPr>
          <w:rFonts w:hint="eastAsia" w:ascii="宋体" w:hAnsi="宋体" w:cs="宋体"/>
          <w:b w:val="0"/>
          <w:bCs w:val="0"/>
          <w:szCs w:val="21"/>
        </w:rPr>
        <w:t>2、前续评审不合格的不再进行后续评审。</w:t>
      </w:r>
    </w:p>
    <w:p w14:paraId="5E69F261">
      <w:pPr>
        <w:autoSpaceDE w:val="0"/>
        <w:autoSpaceDN w:val="0"/>
        <w:spacing w:line="500" w:lineRule="exact"/>
        <w:rPr>
          <w:rFonts w:hint="eastAsia" w:ascii="宋体" w:hAnsi="宋体" w:cs="宋体"/>
          <w:b w:val="0"/>
          <w:bCs w:val="0"/>
          <w:szCs w:val="21"/>
        </w:rPr>
      </w:pPr>
      <w:r>
        <w:rPr>
          <w:rFonts w:hint="eastAsia" w:ascii="宋体" w:hAnsi="宋体" w:cs="宋体"/>
          <w:b w:val="0"/>
          <w:bCs w:val="0"/>
          <w:szCs w:val="21"/>
        </w:rPr>
        <w:t>3、所有抽签（如有）均在唱标后、资格审查完成且清标结束，并经评标委员会所有评委签字认可确定有效标，由招标人代表在现场进行抽取确定。</w:t>
      </w:r>
    </w:p>
    <w:p w14:paraId="117C12FE">
      <w:pPr>
        <w:autoSpaceDE w:val="0"/>
        <w:autoSpaceDN w:val="0"/>
        <w:spacing w:line="500" w:lineRule="exact"/>
        <w:rPr>
          <w:rFonts w:hint="eastAsia" w:ascii="宋体" w:hAnsi="宋体" w:cs="宋体"/>
          <w:b w:val="0"/>
          <w:bCs w:val="0"/>
          <w:szCs w:val="21"/>
        </w:rPr>
      </w:pPr>
      <w:r>
        <w:rPr>
          <w:rFonts w:hint="eastAsia" w:ascii="宋体" w:hAnsi="宋体" w:cs="宋体"/>
          <w:b w:val="0"/>
          <w:bCs w:val="0"/>
          <w:szCs w:val="21"/>
        </w:rPr>
        <w:t>4、书面评标报告未经评标委员会全体成员签字（签章）之前，评标过程中的差错应当及时纠正。评标委员会完成评标（签署完成书面评标报告），评标基准价不因招投标当事人质疑、投诉、复议以及其它任何情形而改变（除计算错误外）。</w:t>
      </w:r>
    </w:p>
    <w:p w14:paraId="527179EA">
      <w:pPr>
        <w:autoSpaceDE w:val="0"/>
        <w:autoSpaceDN w:val="0"/>
        <w:spacing w:line="500" w:lineRule="exact"/>
        <w:rPr>
          <w:rFonts w:hint="eastAsia" w:ascii="宋体" w:hAnsi="宋体" w:cs="宋体"/>
          <w:b w:val="0"/>
          <w:bCs w:val="0"/>
          <w:szCs w:val="21"/>
        </w:rPr>
      </w:pPr>
      <w:r>
        <w:rPr>
          <w:rFonts w:hint="eastAsia" w:ascii="宋体" w:hAnsi="宋体" w:cs="宋体"/>
          <w:b w:val="0"/>
          <w:bCs w:val="0"/>
          <w:szCs w:val="21"/>
        </w:rPr>
        <w:t>5、招标人有权要求对中标候选人投标文件中所有提供复印件的材料进行原件核查，未在规定时间内提供相关原件的或核查不通过的，取消中标资格，且一切后果由中标候选人自行承担。</w:t>
      </w:r>
    </w:p>
    <w:p w14:paraId="53DF493D">
      <w:pPr>
        <w:autoSpaceDE w:val="0"/>
        <w:autoSpaceDN w:val="0"/>
        <w:spacing w:line="500" w:lineRule="exact"/>
        <w:rPr>
          <w:rFonts w:hint="eastAsia" w:ascii="宋体" w:hAnsi="宋体" w:cs="宋体"/>
          <w:b/>
          <w:bCs/>
          <w:szCs w:val="21"/>
        </w:rPr>
      </w:pPr>
    </w:p>
    <w:p w14:paraId="745E8851">
      <w:pPr>
        <w:autoSpaceDE w:val="0"/>
        <w:autoSpaceDN w:val="0"/>
        <w:spacing w:line="500" w:lineRule="exact"/>
        <w:rPr>
          <w:rFonts w:hint="eastAsia" w:ascii="宋体" w:hAnsi="宋体" w:cs="宋体"/>
          <w:b/>
          <w:bCs/>
          <w:szCs w:val="21"/>
        </w:rPr>
      </w:pPr>
    </w:p>
    <w:p w14:paraId="39A90380">
      <w:pPr>
        <w:autoSpaceDE w:val="0"/>
        <w:autoSpaceDN w:val="0"/>
        <w:spacing w:line="500" w:lineRule="exact"/>
        <w:rPr>
          <w:rFonts w:hint="eastAsia" w:ascii="宋体" w:hAnsi="宋体" w:cs="宋体"/>
          <w:b/>
          <w:bCs/>
          <w:szCs w:val="21"/>
        </w:rPr>
      </w:pPr>
    </w:p>
    <w:p w14:paraId="0EADA1C0">
      <w:pPr>
        <w:autoSpaceDE w:val="0"/>
        <w:autoSpaceDN w:val="0"/>
        <w:spacing w:line="500" w:lineRule="exact"/>
        <w:rPr>
          <w:rFonts w:hint="eastAsia" w:ascii="宋体" w:hAnsi="宋体" w:cs="宋体"/>
          <w:b/>
          <w:bCs/>
          <w:szCs w:val="21"/>
        </w:rPr>
      </w:pPr>
    </w:p>
    <w:p w14:paraId="051C7E5F">
      <w:pPr>
        <w:autoSpaceDE w:val="0"/>
        <w:autoSpaceDN w:val="0"/>
        <w:spacing w:line="500" w:lineRule="exact"/>
        <w:rPr>
          <w:rFonts w:hint="eastAsia" w:ascii="宋体" w:hAnsi="宋体" w:cs="宋体"/>
          <w:b/>
          <w:bCs/>
          <w:szCs w:val="21"/>
        </w:rPr>
      </w:pPr>
    </w:p>
    <w:p w14:paraId="2F341CD2">
      <w:pPr>
        <w:autoSpaceDE w:val="0"/>
        <w:autoSpaceDN w:val="0"/>
        <w:spacing w:line="500" w:lineRule="exact"/>
        <w:rPr>
          <w:rFonts w:hint="eastAsia" w:ascii="宋体" w:hAnsi="宋体" w:cs="宋体"/>
          <w:b/>
          <w:bCs/>
          <w:szCs w:val="21"/>
        </w:rPr>
      </w:pPr>
    </w:p>
    <w:p w14:paraId="0B345A11">
      <w:pPr>
        <w:autoSpaceDE w:val="0"/>
        <w:autoSpaceDN w:val="0"/>
        <w:spacing w:line="500" w:lineRule="exact"/>
        <w:rPr>
          <w:rFonts w:hint="eastAsia" w:ascii="宋体" w:hAnsi="宋体" w:cs="宋体"/>
          <w:b/>
          <w:bCs/>
          <w:szCs w:val="21"/>
        </w:rPr>
      </w:pPr>
    </w:p>
    <w:p w14:paraId="0EB0B90F">
      <w:pPr>
        <w:autoSpaceDE w:val="0"/>
        <w:autoSpaceDN w:val="0"/>
        <w:spacing w:line="500" w:lineRule="exact"/>
        <w:rPr>
          <w:rFonts w:hint="eastAsia" w:ascii="宋体" w:hAnsi="宋体" w:cs="宋体"/>
          <w:b/>
          <w:bCs/>
          <w:szCs w:val="21"/>
        </w:rPr>
      </w:pPr>
    </w:p>
    <w:p w14:paraId="27BD2961">
      <w:pPr>
        <w:autoSpaceDE w:val="0"/>
        <w:autoSpaceDN w:val="0"/>
        <w:spacing w:line="500" w:lineRule="exact"/>
        <w:rPr>
          <w:rFonts w:hint="eastAsia" w:ascii="宋体" w:hAnsi="宋体" w:cs="宋体"/>
          <w:b/>
          <w:bCs/>
          <w:szCs w:val="21"/>
        </w:rPr>
      </w:pPr>
    </w:p>
    <w:p w14:paraId="33118B23">
      <w:pPr>
        <w:autoSpaceDE w:val="0"/>
        <w:autoSpaceDN w:val="0"/>
        <w:spacing w:line="500" w:lineRule="exact"/>
        <w:rPr>
          <w:rFonts w:hint="eastAsia" w:ascii="宋体" w:hAnsi="宋体" w:cs="宋体"/>
          <w:b/>
          <w:bCs/>
          <w:szCs w:val="21"/>
        </w:rPr>
      </w:pPr>
    </w:p>
    <w:p w14:paraId="4B0B805D">
      <w:pPr>
        <w:autoSpaceDE w:val="0"/>
        <w:autoSpaceDN w:val="0"/>
        <w:spacing w:line="500" w:lineRule="exact"/>
        <w:rPr>
          <w:rFonts w:hint="eastAsia" w:ascii="宋体" w:hAnsi="宋体" w:cs="宋体"/>
          <w:b/>
          <w:bCs/>
          <w:szCs w:val="21"/>
        </w:rPr>
      </w:pPr>
    </w:p>
    <w:p w14:paraId="12EF0323">
      <w:pPr>
        <w:autoSpaceDE w:val="0"/>
        <w:autoSpaceDN w:val="0"/>
        <w:spacing w:line="500" w:lineRule="exact"/>
        <w:rPr>
          <w:rFonts w:hint="eastAsia" w:ascii="宋体" w:hAnsi="宋体" w:cs="宋体"/>
          <w:b/>
          <w:bCs/>
          <w:szCs w:val="21"/>
        </w:rPr>
      </w:pPr>
    </w:p>
    <w:p w14:paraId="1593D126">
      <w:pPr>
        <w:autoSpaceDE w:val="0"/>
        <w:autoSpaceDN w:val="0"/>
        <w:spacing w:line="500" w:lineRule="exact"/>
        <w:rPr>
          <w:rFonts w:hint="eastAsia" w:ascii="宋体" w:hAnsi="宋体" w:cs="宋体"/>
          <w:b/>
          <w:bCs/>
          <w:szCs w:val="21"/>
        </w:rPr>
      </w:pPr>
    </w:p>
    <w:p w14:paraId="0FAE8D66">
      <w:pPr>
        <w:autoSpaceDE w:val="0"/>
        <w:autoSpaceDN w:val="0"/>
        <w:spacing w:line="500" w:lineRule="exact"/>
        <w:rPr>
          <w:rFonts w:hint="eastAsia" w:ascii="宋体" w:hAnsi="宋体" w:cs="宋体"/>
          <w:b/>
          <w:bCs/>
          <w:szCs w:val="21"/>
        </w:rPr>
      </w:pPr>
    </w:p>
    <w:p w14:paraId="745B84B0">
      <w:pPr>
        <w:autoSpaceDE w:val="0"/>
        <w:autoSpaceDN w:val="0"/>
        <w:spacing w:line="500" w:lineRule="exact"/>
        <w:rPr>
          <w:rFonts w:hint="eastAsia" w:ascii="宋体" w:hAnsi="宋体" w:cs="宋体"/>
          <w:b/>
          <w:bCs/>
          <w:szCs w:val="21"/>
        </w:rPr>
      </w:pPr>
    </w:p>
    <w:p w14:paraId="23335897">
      <w:pPr>
        <w:autoSpaceDE w:val="0"/>
        <w:autoSpaceDN w:val="0"/>
        <w:spacing w:line="500" w:lineRule="exact"/>
        <w:rPr>
          <w:rFonts w:hint="eastAsia" w:ascii="宋体" w:hAnsi="宋体" w:cs="宋体"/>
          <w:b/>
          <w:bCs/>
          <w:szCs w:val="21"/>
        </w:rPr>
      </w:pPr>
    </w:p>
    <w:p w14:paraId="1ED5621A">
      <w:pPr>
        <w:autoSpaceDE w:val="0"/>
        <w:autoSpaceDN w:val="0"/>
        <w:spacing w:line="500" w:lineRule="exact"/>
        <w:rPr>
          <w:rFonts w:hint="eastAsia" w:ascii="宋体" w:hAnsi="宋体" w:cs="宋体"/>
          <w:b/>
          <w:bCs/>
          <w:szCs w:val="21"/>
        </w:rPr>
      </w:pPr>
    </w:p>
    <w:p w14:paraId="52D8A38D">
      <w:pPr>
        <w:autoSpaceDE w:val="0"/>
        <w:autoSpaceDN w:val="0"/>
        <w:spacing w:line="500" w:lineRule="exact"/>
        <w:rPr>
          <w:rFonts w:hint="eastAsia" w:ascii="宋体" w:hAnsi="宋体" w:cs="宋体"/>
          <w:b/>
          <w:bCs/>
          <w:szCs w:val="21"/>
        </w:rPr>
      </w:pPr>
    </w:p>
    <w:p w14:paraId="68E98DB2">
      <w:pPr>
        <w:autoSpaceDE w:val="0"/>
        <w:autoSpaceDN w:val="0"/>
        <w:spacing w:line="500" w:lineRule="exact"/>
        <w:rPr>
          <w:rFonts w:hint="eastAsia" w:ascii="宋体" w:hAnsi="宋体" w:cs="宋体"/>
          <w:b/>
          <w:bCs/>
          <w:szCs w:val="21"/>
        </w:rPr>
      </w:pPr>
    </w:p>
    <w:p w14:paraId="3AC19923">
      <w:pPr>
        <w:autoSpaceDE w:val="0"/>
        <w:autoSpaceDN w:val="0"/>
        <w:spacing w:line="500" w:lineRule="exact"/>
        <w:rPr>
          <w:rFonts w:hint="eastAsia" w:ascii="宋体" w:hAnsi="宋体" w:cs="宋体"/>
          <w:b/>
          <w:bCs/>
          <w:szCs w:val="21"/>
        </w:rPr>
      </w:pPr>
    </w:p>
    <w:p w14:paraId="12252CC2">
      <w:pPr>
        <w:autoSpaceDE w:val="0"/>
        <w:autoSpaceDN w:val="0"/>
        <w:spacing w:line="500" w:lineRule="exact"/>
        <w:rPr>
          <w:rFonts w:ascii="宋体" w:hAnsi="宋体" w:cs="宋体"/>
          <w:szCs w:val="21"/>
        </w:rPr>
      </w:pPr>
      <w:r>
        <w:rPr>
          <w:rFonts w:hint="eastAsia" w:ascii="宋体" w:hAnsi="宋体" w:cs="宋体"/>
          <w:b/>
          <w:bCs/>
          <w:szCs w:val="21"/>
        </w:rPr>
        <w:t>附件二：</w:t>
      </w:r>
    </w:p>
    <w:p w14:paraId="33098A2B">
      <w:pPr>
        <w:pStyle w:val="14"/>
        <w:spacing w:line="500" w:lineRule="exact"/>
        <w:jc w:val="center"/>
        <w:rPr>
          <w:rFonts w:ascii="宋体" w:hAnsi="宋体"/>
          <w:b/>
          <w:sz w:val="44"/>
          <w:szCs w:val="44"/>
        </w:rPr>
      </w:pPr>
      <w:r>
        <w:rPr>
          <w:rFonts w:hint="eastAsia" w:ascii="宋体" w:hAnsi="宋体"/>
          <w:b/>
          <w:sz w:val="44"/>
          <w:szCs w:val="44"/>
        </w:rPr>
        <w:t>投标保证金说明（线下缴纳）</w:t>
      </w:r>
    </w:p>
    <w:p w14:paraId="6313AB2F">
      <w:pPr>
        <w:spacing w:line="500" w:lineRule="exact"/>
        <w:rPr>
          <w:rFonts w:ascii="宋体" w:hAnsi="宋体"/>
          <w:szCs w:val="21"/>
        </w:rPr>
      </w:pPr>
    </w:p>
    <w:p w14:paraId="5BB4E580">
      <w:pPr>
        <w:snapToGrid w:val="0"/>
        <w:spacing w:line="500" w:lineRule="exact"/>
        <w:ind w:firstLine="420" w:firstLineChars="200"/>
        <w:rPr>
          <w:rFonts w:hint="eastAsia" w:ascii="宋体" w:hAnsi="宋体" w:cs="宋体"/>
          <w:szCs w:val="21"/>
        </w:rPr>
      </w:pPr>
      <w:r>
        <w:rPr>
          <w:rFonts w:hint="eastAsia" w:ascii="宋体" w:hAnsi="宋体" w:cs="宋体"/>
          <w:szCs w:val="21"/>
        </w:rPr>
        <w:t>1、投标单位应按规定的金额递交投标保证金。投标单位应充分考虑投标保证金在途时间，确保投标保证金在</w:t>
      </w:r>
      <w:r>
        <w:rPr>
          <w:rFonts w:hint="eastAsia" w:ascii="宋体" w:hAnsi="宋体" w:cs="宋体"/>
          <w:b/>
          <w:szCs w:val="21"/>
        </w:rPr>
        <w:t>投标截止时间前</w:t>
      </w:r>
      <w:r>
        <w:rPr>
          <w:rFonts w:hint="eastAsia" w:ascii="宋体" w:hAnsi="宋体" w:cs="宋体"/>
          <w:szCs w:val="21"/>
        </w:rPr>
        <w:t>到达投标保证金专用账户。如投标保证金</w:t>
      </w:r>
      <w:r>
        <w:rPr>
          <w:rFonts w:hint="eastAsia" w:ascii="宋体" w:hAnsi="宋体" w:cs="宋体"/>
          <w:b/>
          <w:szCs w:val="21"/>
        </w:rPr>
        <w:t>投标截止时间前</w:t>
      </w:r>
      <w:r>
        <w:rPr>
          <w:rFonts w:hint="eastAsia" w:ascii="宋体" w:hAnsi="宋体" w:cs="宋体"/>
          <w:szCs w:val="21"/>
        </w:rPr>
        <w:t>未到账（以我司财务部确认到账为准），作未缴纳投标保证金处理。</w:t>
      </w:r>
    </w:p>
    <w:p w14:paraId="7E3A928B">
      <w:pPr>
        <w:snapToGrid w:val="0"/>
        <w:spacing w:line="500" w:lineRule="exact"/>
        <w:ind w:firstLine="420" w:firstLineChars="200"/>
        <w:rPr>
          <w:rFonts w:hint="eastAsia" w:ascii="宋体" w:hAnsi="宋体" w:cs="宋体"/>
          <w:color w:val="auto"/>
          <w:szCs w:val="21"/>
        </w:rPr>
      </w:pPr>
      <w:r>
        <w:rPr>
          <w:rFonts w:hint="eastAsia" w:ascii="宋体" w:hAnsi="宋体" w:cs="宋体"/>
          <w:szCs w:val="21"/>
        </w:rPr>
        <w:t>2、投标保证金专用账</w:t>
      </w:r>
      <w:r>
        <w:rPr>
          <w:rFonts w:hint="eastAsia" w:ascii="宋体" w:hAnsi="宋体" w:cs="宋体"/>
          <w:color w:val="auto"/>
          <w:szCs w:val="21"/>
        </w:rPr>
        <w:t>户（请勿汇错，否则后果自负）</w:t>
      </w:r>
    </w:p>
    <w:p w14:paraId="5F4416F6">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收款单位：常州常高新数据科技有限公司 </w:t>
      </w:r>
    </w:p>
    <w:p w14:paraId="05C1D7B3">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开户银行：工商银行常州新区支行 </w:t>
      </w:r>
    </w:p>
    <w:p w14:paraId="08DB0321">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银行账号：1105021609002460866 </w:t>
      </w:r>
    </w:p>
    <w:p w14:paraId="5BB86055">
      <w:pPr>
        <w:snapToGrid w:val="0"/>
        <w:spacing w:line="500" w:lineRule="exact"/>
        <w:ind w:firstLine="420" w:firstLineChars="200"/>
        <w:rPr>
          <w:rFonts w:hint="eastAsia" w:ascii="宋体" w:hAnsi="宋体" w:cs="宋体"/>
          <w:color w:val="auto"/>
          <w:szCs w:val="21"/>
        </w:rPr>
      </w:pPr>
      <w:r>
        <w:rPr>
          <w:rFonts w:hint="eastAsia" w:ascii="宋体" w:hAnsi="宋体" w:cs="宋体"/>
          <w:color w:val="auto"/>
          <w:szCs w:val="21"/>
        </w:rPr>
        <w:t>3、投标保证金金额：人民币</w:t>
      </w:r>
      <w:r>
        <w:rPr>
          <w:rFonts w:hint="eastAsia" w:ascii="宋体" w:hAnsi="宋体" w:cs="宋体"/>
          <w:color w:val="auto"/>
          <w:szCs w:val="21"/>
          <w:lang w:val="en-US" w:eastAsia="zh-CN"/>
        </w:rPr>
        <w:t>贰</w:t>
      </w:r>
      <w:r>
        <w:rPr>
          <w:rFonts w:hint="eastAsia" w:ascii="宋体" w:hAnsi="宋体" w:cs="宋体"/>
          <w:color w:val="auto"/>
          <w:szCs w:val="21"/>
        </w:rPr>
        <w:t>万元整</w:t>
      </w:r>
    </w:p>
    <w:p w14:paraId="54736899">
      <w:pPr>
        <w:snapToGrid w:val="0"/>
        <w:spacing w:line="500" w:lineRule="exact"/>
        <w:ind w:firstLine="420" w:firstLineChars="200"/>
        <w:rPr>
          <w:rFonts w:hint="eastAsia" w:ascii="宋体" w:hAnsi="宋体" w:cs="宋体"/>
          <w:szCs w:val="21"/>
        </w:rPr>
      </w:pPr>
      <w:r>
        <w:rPr>
          <w:rFonts w:hint="eastAsia" w:ascii="宋体" w:hAnsi="宋体" w:cs="宋体"/>
          <w:szCs w:val="21"/>
        </w:rPr>
        <w:t>4、投标保证金缴纳方式（选择</w:t>
      </w:r>
      <w:r>
        <w:rPr>
          <w:rFonts w:hint="eastAsia" w:ascii="宋体" w:hAnsi="宋体" w:cs="宋体"/>
          <w:szCs w:val="21"/>
          <w:u w:val="single"/>
        </w:rPr>
        <w:t xml:space="preserve"> ① </w:t>
      </w:r>
      <w:r>
        <w:rPr>
          <w:rFonts w:hint="eastAsia" w:ascii="宋体" w:hAnsi="宋体" w:cs="宋体"/>
          <w:szCs w:val="21"/>
        </w:rPr>
        <w:t>）</w:t>
      </w:r>
    </w:p>
    <w:p w14:paraId="13AAFF44">
      <w:pPr>
        <w:snapToGrid w:val="0"/>
        <w:spacing w:line="500" w:lineRule="exact"/>
        <w:ind w:firstLine="420" w:firstLineChars="200"/>
        <w:rPr>
          <w:rFonts w:hint="eastAsia" w:ascii="宋体" w:hAnsi="宋体" w:cs="宋体"/>
          <w:szCs w:val="21"/>
        </w:rPr>
      </w:pPr>
      <w:r>
        <w:rPr>
          <w:rFonts w:hint="eastAsia" w:ascii="宋体" w:hAnsi="宋体" w:cs="宋体"/>
          <w:szCs w:val="21"/>
        </w:rPr>
        <w:t>①投标单位采用</w:t>
      </w:r>
      <w:r>
        <w:rPr>
          <w:rFonts w:hint="eastAsia" w:ascii="宋体" w:hAnsi="宋体" w:cs="Arial"/>
          <w:kern w:val="0"/>
          <w:szCs w:val="21"/>
        </w:rPr>
        <w:t>电汇、网上银行</w:t>
      </w:r>
      <w:r>
        <w:rPr>
          <w:rFonts w:hint="eastAsia" w:ascii="宋体" w:hAnsi="宋体" w:cs="宋体"/>
          <w:szCs w:val="21"/>
        </w:rPr>
        <w:t>等方式将保证金从投标单位账户缴至“投标保证金专用账户”，然后凭银行回单加盖公司公章作为投保保证金缴纳证明，转账、电汇需备注项目名称及标段号（若有）投标保证金。</w:t>
      </w:r>
    </w:p>
    <w:p w14:paraId="7A926000">
      <w:pPr>
        <w:snapToGrid w:val="0"/>
        <w:spacing w:line="500" w:lineRule="exact"/>
        <w:ind w:firstLine="420" w:firstLineChars="200"/>
        <w:rPr>
          <w:rFonts w:hint="eastAsia" w:ascii="宋体" w:hAnsi="宋体" w:cs="宋体"/>
          <w:szCs w:val="21"/>
        </w:rPr>
      </w:pPr>
      <w:r>
        <w:rPr>
          <w:rFonts w:hint="eastAsia" w:ascii="宋体" w:hAnsi="宋体" w:cs="宋体"/>
          <w:szCs w:val="21"/>
        </w:rPr>
        <w:t>②投标单位采用银行保函方式提交。</w:t>
      </w:r>
    </w:p>
    <w:p w14:paraId="4D984B19">
      <w:pPr>
        <w:snapToGrid w:val="0"/>
        <w:spacing w:line="500" w:lineRule="exact"/>
        <w:ind w:firstLine="420" w:firstLineChars="200"/>
        <w:rPr>
          <w:rFonts w:hint="eastAsia" w:ascii="宋体" w:hAnsi="宋体" w:cs="宋体"/>
          <w:szCs w:val="21"/>
        </w:rPr>
      </w:pPr>
      <w:r>
        <w:rPr>
          <w:rFonts w:hint="eastAsia" w:ascii="宋体" w:hAnsi="宋体" w:cs="宋体"/>
          <w:szCs w:val="21"/>
        </w:rPr>
        <w:t>③投标单位采用经相关部门认定的有资质的专业担保公司</w:t>
      </w:r>
      <w:r>
        <w:rPr>
          <w:rFonts w:hint="eastAsia" w:ascii="宋体" w:hAnsi="宋体" w:cs="Arial"/>
          <w:kern w:val="0"/>
          <w:szCs w:val="21"/>
        </w:rPr>
        <w:t>（</w:t>
      </w:r>
      <w:r>
        <w:rPr>
          <w:rFonts w:hint="eastAsia" w:ascii="宋体" w:hAnsi="宋体" w:cs="宋体"/>
          <w:szCs w:val="21"/>
        </w:rPr>
        <w:t>专业担保公司名单网址详见：</w:t>
      </w:r>
      <w:r>
        <w:fldChar w:fldCharType="begin"/>
      </w:r>
      <w:r>
        <w:instrText xml:space="preserve"> HYPERLINK "http://ggzy.xzsp.changzhou.gov.cn/tbbhjrjgjs/jgxxindex.html" </w:instrText>
      </w:r>
      <w:r>
        <w:fldChar w:fldCharType="separate"/>
      </w:r>
      <w:r>
        <w:rPr>
          <w:rStyle w:val="10"/>
          <w:rFonts w:ascii="宋体" w:hAnsi="宋体" w:cs="宋体"/>
          <w:color w:val="auto"/>
          <w:szCs w:val="21"/>
        </w:rPr>
        <w:t>http://ggzy.xzsp.changzhou.gov.cn/tbbhjrjgjs/jgxxindex.html</w:t>
      </w:r>
      <w:r>
        <w:rPr>
          <w:rStyle w:val="10"/>
          <w:rFonts w:ascii="宋体" w:hAnsi="宋体" w:cs="宋体"/>
          <w:color w:val="auto"/>
          <w:szCs w:val="21"/>
        </w:rPr>
        <w:fldChar w:fldCharType="end"/>
      </w:r>
      <w:r>
        <w:rPr>
          <w:rFonts w:hint="eastAsia" w:ascii="宋体" w:hAnsi="宋体" w:cs="宋体"/>
          <w:szCs w:val="21"/>
        </w:rPr>
        <w:t>）投标保函方式提交。</w:t>
      </w:r>
    </w:p>
    <w:p w14:paraId="40C07D8B">
      <w:pPr>
        <w:snapToGrid w:val="0"/>
        <w:spacing w:line="500" w:lineRule="exact"/>
        <w:ind w:firstLine="420" w:firstLineChars="200"/>
        <w:rPr>
          <w:rFonts w:hint="eastAsia" w:ascii="宋体" w:hAnsi="宋体" w:cs="宋体"/>
          <w:szCs w:val="21"/>
        </w:rPr>
      </w:pPr>
      <w:r>
        <w:rPr>
          <w:rFonts w:hint="eastAsia" w:ascii="宋体" w:hAnsi="宋体" w:cs="宋体"/>
          <w:szCs w:val="21"/>
        </w:rPr>
        <w:t>5、缴纳保证金注意事项：</w:t>
      </w:r>
      <w:r>
        <w:rPr>
          <w:rFonts w:ascii="宋体" w:hAnsi="宋体"/>
          <w:szCs w:val="21"/>
        </w:rPr>
        <w:t>必须在</w:t>
      </w:r>
      <w:r>
        <w:rPr>
          <w:rFonts w:hint="eastAsia" w:ascii="宋体" w:hAnsi="宋体"/>
          <w:szCs w:val="21"/>
        </w:rPr>
        <w:t>保证金到账</w:t>
      </w:r>
      <w:r>
        <w:rPr>
          <w:rFonts w:ascii="宋体" w:hAnsi="宋体"/>
          <w:szCs w:val="21"/>
        </w:rPr>
        <w:t>截止时间前完成缴纳</w:t>
      </w:r>
      <w:r>
        <w:rPr>
          <w:rFonts w:hint="eastAsia" w:ascii="宋体" w:hAnsi="宋体" w:cs="宋体"/>
          <w:szCs w:val="21"/>
        </w:rPr>
        <w:t>。</w:t>
      </w:r>
    </w:p>
    <w:p w14:paraId="3F61F46D">
      <w:pPr>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6、投标保证金的退还时间：</w:t>
      </w:r>
    </w:p>
    <w:p w14:paraId="47D0F594">
      <w:pPr>
        <w:adjustRightInd w:val="0"/>
        <w:snapToGrid w:val="0"/>
        <w:spacing w:line="500" w:lineRule="exact"/>
        <w:ind w:firstLine="420" w:firstLineChars="200"/>
        <w:rPr>
          <w:rFonts w:hint="eastAsia" w:ascii="宋体" w:hAnsi="宋体" w:cs="宋体"/>
          <w:szCs w:val="21"/>
        </w:rPr>
      </w:pPr>
      <w:r>
        <w:rPr>
          <w:rFonts w:hint="eastAsia" w:ascii="宋体" w:hAnsi="宋体" w:cs="宋体"/>
          <w:szCs w:val="21"/>
        </w:rPr>
        <w:t>非排名前三名的投标人的投标保证金或投标保函（保单），在中标结果公示无异议后五个工作日内退还；排名前三名的中标候选人的投标保证金或投标保函（保单），在招标人与中标人签订合同后五日内退还；若招标人与中标人在中标通知书发出三十日内仍未订立书面合同的，排名第二、第三的中标候选人的保证金或投标保函可予以退还。</w:t>
      </w:r>
    </w:p>
    <w:p w14:paraId="065E9624">
      <w:pPr>
        <w:snapToGrid w:val="0"/>
        <w:spacing w:line="500" w:lineRule="exact"/>
        <w:ind w:firstLine="420" w:firstLineChars="200"/>
        <w:rPr>
          <w:rFonts w:hint="eastAsia" w:ascii="宋体" w:hAnsi="宋体" w:cs="宋体"/>
          <w:szCs w:val="21"/>
        </w:rPr>
      </w:pPr>
      <w:r>
        <w:rPr>
          <w:rFonts w:hint="eastAsia" w:ascii="宋体" w:hAnsi="宋体" w:cs="宋体"/>
          <w:szCs w:val="21"/>
        </w:rPr>
        <w:t>7、未尽事宜按《关于贯彻落实国家、省关于完善招标投标交易担保制度进一步降低招标投标交易成本相关要求的通知》（常发改[2023]161号）等文件要求执行。</w:t>
      </w:r>
    </w:p>
    <w:p w14:paraId="61335FD2">
      <w:pPr>
        <w:widowControl/>
        <w:adjustRightInd w:val="0"/>
        <w:snapToGrid w:val="0"/>
        <w:spacing w:line="500" w:lineRule="exact"/>
        <w:ind w:firstLine="200"/>
        <w:jc w:val="left"/>
        <w:rPr>
          <w:rFonts w:hint="eastAsia"/>
        </w:rPr>
      </w:pPr>
    </w:p>
    <w:p w14:paraId="15DED6AA">
      <w:pPr>
        <w:widowControl/>
        <w:rPr>
          <w:rFonts w:ascii="宋体" w:hAnsi="宋体"/>
          <w:b/>
          <w:bCs/>
        </w:rPr>
      </w:pPr>
      <w:r>
        <w:rPr>
          <w:rFonts w:hint="eastAsia" w:ascii="宋体" w:hAnsi="宋体"/>
          <w:b/>
          <w:bCs/>
        </w:rPr>
        <w:br w:type="page"/>
      </w:r>
      <w:r>
        <w:rPr>
          <w:rFonts w:hint="eastAsia" w:ascii="宋体" w:hAnsi="宋体"/>
          <w:b/>
          <w:bCs/>
        </w:rPr>
        <w:t>附件三：</w:t>
      </w:r>
    </w:p>
    <w:p w14:paraId="14E632ED">
      <w:pPr>
        <w:spacing w:line="600" w:lineRule="exact"/>
        <w:jc w:val="center"/>
        <w:rPr>
          <w:rFonts w:hint="eastAsia"/>
          <w:b/>
          <w:kern w:val="0"/>
          <w:sz w:val="44"/>
          <w:szCs w:val="44"/>
        </w:rPr>
      </w:pPr>
      <w:r>
        <w:rPr>
          <w:rFonts w:hint="eastAsia" w:ascii="宋体" w:hAnsi="宋体"/>
          <w:b/>
          <w:kern w:val="0"/>
          <w:sz w:val="44"/>
          <w:szCs w:val="44"/>
        </w:rPr>
        <w:t>投标报名表</w:t>
      </w:r>
    </w:p>
    <w:tbl>
      <w:tblPr>
        <w:tblStyle w:val="8"/>
        <w:tblW w:w="0" w:type="auto"/>
        <w:tblInd w:w="12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747"/>
        <w:gridCol w:w="6492"/>
      </w:tblGrid>
      <w:tr w14:paraId="0867F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5" w:hRule="atLeast"/>
        </w:trPr>
        <w:tc>
          <w:tcPr>
            <w:tcW w:w="2747" w:type="dxa"/>
            <w:tcBorders>
              <w:top w:val="single" w:color="auto" w:sz="6" w:space="0"/>
              <w:left w:val="single" w:color="auto" w:sz="6" w:space="0"/>
              <w:bottom w:val="single" w:color="auto" w:sz="6" w:space="0"/>
              <w:right w:val="single" w:color="auto" w:sz="6" w:space="0"/>
            </w:tcBorders>
            <w:vAlign w:val="center"/>
          </w:tcPr>
          <w:p w14:paraId="2F474A8A">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招标单位</w:t>
            </w:r>
          </w:p>
        </w:tc>
        <w:tc>
          <w:tcPr>
            <w:tcW w:w="6492" w:type="dxa"/>
            <w:tcBorders>
              <w:top w:val="single" w:color="auto" w:sz="6" w:space="0"/>
              <w:left w:val="nil"/>
              <w:bottom w:val="single" w:color="auto" w:sz="6" w:space="0"/>
              <w:right w:val="single" w:color="auto" w:sz="6" w:space="0"/>
            </w:tcBorders>
            <w:vAlign w:val="center"/>
          </w:tcPr>
          <w:p w14:paraId="291DF601">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p>
        </w:tc>
      </w:tr>
      <w:tr w14:paraId="74F3B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E82758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项目名称</w:t>
            </w:r>
          </w:p>
        </w:tc>
        <w:tc>
          <w:tcPr>
            <w:tcW w:w="6492" w:type="dxa"/>
            <w:tcBorders>
              <w:top w:val="single" w:color="auto" w:sz="6" w:space="0"/>
              <w:left w:val="nil"/>
              <w:bottom w:val="single" w:color="auto" w:sz="6" w:space="0"/>
              <w:right w:val="single" w:color="auto" w:sz="6" w:space="0"/>
            </w:tcBorders>
            <w:vAlign w:val="center"/>
          </w:tcPr>
          <w:p w14:paraId="230CEBD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p>
        </w:tc>
      </w:tr>
      <w:tr w14:paraId="257C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045F2729">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项目地址</w:t>
            </w:r>
          </w:p>
        </w:tc>
        <w:tc>
          <w:tcPr>
            <w:tcW w:w="6492" w:type="dxa"/>
            <w:tcBorders>
              <w:top w:val="single" w:color="auto" w:sz="6" w:space="0"/>
              <w:left w:val="nil"/>
              <w:bottom w:val="single" w:color="auto" w:sz="6" w:space="0"/>
              <w:right w:val="single" w:color="auto" w:sz="6" w:space="0"/>
            </w:tcBorders>
            <w:vAlign w:val="center"/>
          </w:tcPr>
          <w:p w14:paraId="5B217BE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常州市新北区</w:t>
            </w:r>
          </w:p>
        </w:tc>
      </w:tr>
      <w:tr w14:paraId="7668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239" w:type="dxa"/>
            <w:gridSpan w:val="2"/>
            <w:tcBorders>
              <w:top w:val="single" w:color="auto" w:sz="6" w:space="0"/>
              <w:left w:val="single" w:color="auto" w:sz="6" w:space="0"/>
              <w:bottom w:val="single" w:color="auto" w:sz="6" w:space="0"/>
              <w:right w:val="single" w:color="auto" w:sz="6" w:space="0"/>
            </w:tcBorders>
            <w:vAlign w:val="center"/>
          </w:tcPr>
          <w:p w14:paraId="635A2313">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投标单位报名情况</w:t>
            </w:r>
          </w:p>
        </w:tc>
      </w:tr>
      <w:tr w14:paraId="3440E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29D9F9DF">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投标单位（盖章）</w:t>
            </w:r>
          </w:p>
        </w:tc>
        <w:tc>
          <w:tcPr>
            <w:tcW w:w="6492" w:type="dxa"/>
            <w:tcBorders>
              <w:top w:val="single" w:color="auto" w:sz="6" w:space="0"/>
              <w:left w:val="nil"/>
              <w:bottom w:val="single" w:color="auto" w:sz="6" w:space="0"/>
              <w:right w:val="single" w:color="auto" w:sz="6" w:space="0"/>
            </w:tcBorders>
            <w:vAlign w:val="center"/>
          </w:tcPr>
          <w:p w14:paraId="1A6F4951">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337B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7F454BFF">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法定代表人</w:t>
            </w:r>
          </w:p>
          <w:p w14:paraId="35A23445">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（签字并盖章）</w:t>
            </w:r>
          </w:p>
        </w:tc>
        <w:tc>
          <w:tcPr>
            <w:tcW w:w="6492" w:type="dxa"/>
            <w:tcBorders>
              <w:top w:val="single" w:color="auto" w:sz="6" w:space="0"/>
              <w:left w:val="nil"/>
              <w:bottom w:val="single" w:color="auto" w:sz="6" w:space="0"/>
              <w:right w:val="single" w:color="auto" w:sz="6" w:space="0"/>
            </w:tcBorders>
            <w:vAlign w:val="center"/>
          </w:tcPr>
          <w:p w14:paraId="101D312A">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1009D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157F7085">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投标项目负责人</w:t>
            </w:r>
          </w:p>
        </w:tc>
        <w:tc>
          <w:tcPr>
            <w:tcW w:w="6492" w:type="dxa"/>
            <w:tcBorders>
              <w:top w:val="single" w:color="auto" w:sz="6" w:space="0"/>
              <w:left w:val="nil"/>
              <w:bottom w:val="single" w:color="auto" w:sz="6" w:space="0"/>
              <w:right w:val="single" w:color="auto" w:sz="6" w:space="0"/>
            </w:tcBorders>
            <w:vAlign w:val="center"/>
          </w:tcPr>
          <w:p w14:paraId="2F9C4827">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4FB54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1" w:hRule="atLeast"/>
        </w:trPr>
        <w:tc>
          <w:tcPr>
            <w:tcW w:w="2747" w:type="dxa"/>
            <w:tcBorders>
              <w:top w:val="single" w:color="auto" w:sz="6" w:space="0"/>
              <w:left w:val="single" w:color="auto" w:sz="6" w:space="0"/>
              <w:bottom w:val="single" w:color="auto" w:sz="6" w:space="0"/>
              <w:right w:val="single" w:color="auto" w:sz="6" w:space="0"/>
            </w:tcBorders>
            <w:vAlign w:val="center"/>
          </w:tcPr>
          <w:p w14:paraId="579A133B">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授权委托人</w:t>
            </w:r>
          </w:p>
        </w:tc>
        <w:tc>
          <w:tcPr>
            <w:tcW w:w="6492" w:type="dxa"/>
            <w:tcBorders>
              <w:top w:val="single" w:color="auto" w:sz="6" w:space="0"/>
              <w:left w:val="nil"/>
              <w:bottom w:val="single" w:color="auto" w:sz="6" w:space="0"/>
              <w:right w:val="single" w:color="auto" w:sz="6" w:space="0"/>
            </w:tcBorders>
            <w:vAlign w:val="center"/>
          </w:tcPr>
          <w:p w14:paraId="35409DA2">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511FB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0F1C632A">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授权委托人联系电话</w:t>
            </w:r>
          </w:p>
        </w:tc>
        <w:tc>
          <w:tcPr>
            <w:tcW w:w="6492" w:type="dxa"/>
            <w:tcBorders>
              <w:top w:val="single" w:color="auto" w:sz="6" w:space="0"/>
              <w:left w:val="nil"/>
              <w:bottom w:val="single" w:color="auto" w:sz="6" w:space="0"/>
              <w:right w:val="single" w:color="auto" w:sz="6" w:space="0"/>
            </w:tcBorders>
            <w:vAlign w:val="center"/>
          </w:tcPr>
          <w:p w14:paraId="2AFC7802">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20629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2747" w:type="dxa"/>
            <w:tcBorders>
              <w:top w:val="single" w:color="auto" w:sz="6" w:space="0"/>
              <w:left w:val="single" w:color="auto" w:sz="6" w:space="0"/>
              <w:bottom w:val="single" w:color="auto" w:sz="6" w:space="0"/>
              <w:right w:val="single" w:color="auto" w:sz="6" w:space="0"/>
            </w:tcBorders>
            <w:vAlign w:val="center"/>
          </w:tcPr>
          <w:p w14:paraId="2DF1AE8F">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接受招标文件邮箱</w:t>
            </w:r>
          </w:p>
        </w:tc>
        <w:tc>
          <w:tcPr>
            <w:tcW w:w="6492" w:type="dxa"/>
            <w:tcBorders>
              <w:top w:val="single" w:color="auto" w:sz="6" w:space="0"/>
              <w:left w:val="nil"/>
              <w:bottom w:val="single" w:color="auto" w:sz="6" w:space="0"/>
              <w:right w:val="single" w:color="auto" w:sz="6" w:space="0"/>
            </w:tcBorders>
            <w:vAlign w:val="center"/>
          </w:tcPr>
          <w:p w14:paraId="57AB1C97">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14FCA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5" w:hRule="atLeast"/>
        </w:trPr>
        <w:tc>
          <w:tcPr>
            <w:tcW w:w="2747" w:type="dxa"/>
            <w:tcBorders>
              <w:top w:val="single" w:color="auto" w:sz="6" w:space="0"/>
              <w:left w:val="single" w:color="auto" w:sz="6" w:space="0"/>
              <w:bottom w:val="single" w:color="auto" w:sz="6" w:space="0"/>
              <w:right w:val="single" w:color="auto" w:sz="6" w:space="0"/>
            </w:tcBorders>
            <w:vAlign w:val="center"/>
          </w:tcPr>
          <w:p w14:paraId="17D39999">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投标报名时间</w:t>
            </w:r>
          </w:p>
        </w:tc>
        <w:tc>
          <w:tcPr>
            <w:tcW w:w="6492" w:type="dxa"/>
            <w:tcBorders>
              <w:top w:val="single" w:color="auto" w:sz="6" w:space="0"/>
              <w:left w:val="nil"/>
              <w:bottom w:val="single" w:color="auto" w:sz="6" w:space="0"/>
              <w:right w:val="single" w:color="auto" w:sz="6" w:space="0"/>
            </w:tcBorders>
            <w:vAlign w:val="center"/>
          </w:tcPr>
          <w:p w14:paraId="4049E194">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tc>
      </w:tr>
      <w:tr w14:paraId="572E9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54" w:hRule="atLeast"/>
        </w:trPr>
        <w:tc>
          <w:tcPr>
            <w:tcW w:w="2747" w:type="dxa"/>
            <w:tcBorders>
              <w:top w:val="single" w:color="auto" w:sz="6" w:space="0"/>
              <w:left w:val="single" w:color="auto" w:sz="6" w:space="0"/>
              <w:bottom w:val="single" w:color="auto" w:sz="6" w:space="0"/>
              <w:right w:val="single" w:color="auto" w:sz="6" w:space="0"/>
            </w:tcBorders>
            <w:vAlign w:val="center"/>
          </w:tcPr>
          <w:p w14:paraId="5BB1970A">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投标报名接受人</w:t>
            </w:r>
          </w:p>
          <w:p w14:paraId="706A4B84">
            <w:pPr>
              <w:keepNext w:val="0"/>
              <w:keepLines w:val="0"/>
              <w:suppressLineNumbers w:val="0"/>
              <w:autoSpaceDE w:val="0"/>
              <w:autoSpaceDN w:val="0"/>
              <w:spacing w:before="0" w:beforeAutospacing="0" w:after="0" w:afterAutospacing="0"/>
              <w:ind w:left="0" w:right="0"/>
              <w:jc w:val="center"/>
              <w:rPr>
                <w:rFonts w:hint="default" w:ascii="宋体" w:hAnsi="宋体"/>
                <w:kern w:val="0"/>
                <w:szCs w:val="21"/>
              </w:rPr>
            </w:pPr>
            <w:r>
              <w:rPr>
                <w:rFonts w:hint="eastAsia" w:ascii="宋体" w:hAnsi="宋体"/>
                <w:kern w:val="0"/>
                <w:szCs w:val="20"/>
              </w:rPr>
              <w:t>审查意见</w:t>
            </w:r>
          </w:p>
        </w:tc>
        <w:tc>
          <w:tcPr>
            <w:tcW w:w="6492" w:type="dxa"/>
            <w:tcBorders>
              <w:top w:val="single" w:color="auto" w:sz="6" w:space="0"/>
              <w:left w:val="nil"/>
              <w:bottom w:val="single" w:color="auto" w:sz="6" w:space="0"/>
              <w:right w:val="single" w:color="auto" w:sz="6" w:space="0"/>
            </w:tcBorders>
            <w:vAlign w:val="center"/>
          </w:tcPr>
          <w:p w14:paraId="3756369E">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p>
          <w:p w14:paraId="1C12C625">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r>
              <w:rPr>
                <w:rFonts w:hint="eastAsia" w:ascii="宋体" w:hAnsi="宋体"/>
                <w:kern w:val="0"/>
                <w:szCs w:val="20"/>
              </w:rPr>
              <w:t xml:space="preserve">       审查人签名：       日期：</w:t>
            </w:r>
          </w:p>
        </w:tc>
      </w:tr>
      <w:tr w14:paraId="762FD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05" w:hRule="atLeast"/>
        </w:trPr>
        <w:tc>
          <w:tcPr>
            <w:tcW w:w="2747" w:type="dxa"/>
            <w:tcBorders>
              <w:top w:val="single" w:color="auto" w:sz="6" w:space="0"/>
              <w:left w:val="single" w:color="auto" w:sz="6" w:space="0"/>
              <w:bottom w:val="single" w:color="auto" w:sz="6" w:space="0"/>
              <w:right w:val="single" w:color="auto" w:sz="6" w:space="0"/>
            </w:tcBorders>
            <w:vAlign w:val="center"/>
          </w:tcPr>
          <w:p w14:paraId="5D533525">
            <w:pPr>
              <w:keepNext w:val="0"/>
              <w:keepLines w:val="0"/>
              <w:suppressLineNumbers w:val="0"/>
              <w:autoSpaceDE w:val="0"/>
              <w:autoSpaceDN w:val="0"/>
              <w:spacing w:before="0" w:beforeAutospacing="0" w:after="0" w:afterAutospacing="0" w:line="560" w:lineRule="exact"/>
              <w:ind w:left="0" w:right="0"/>
              <w:jc w:val="center"/>
              <w:rPr>
                <w:rFonts w:hint="default" w:ascii="宋体" w:hAnsi="宋体"/>
                <w:kern w:val="0"/>
                <w:szCs w:val="21"/>
              </w:rPr>
            </w:pPr>
            <w:r>
              <w:rPr>
                <w:rFonts w:hint="eastAsia" w:ascii="宋体" w:hAnsi="宋体"/>
                <w:kern w:val="0"/>
                <w:szCs w:val="20"/>
              </w:rPr>
              <w:t>备  注</w:t>
            </w:r>
          </w:p>
        </w:tc>
        <w:tc>
          <w:tcPr>
            <w:tcW w:w="6492" w:type="dxa"/>
            <w:tcBorders>
              <w:top w:val="single" w:color="auto" w:sz="6" w:space="0"/>
              <w:left w:val="nil"/>
              <w:bottom w:val="single" w:color="auto" w:sz="6" w:space="0"/>
              <w:right w:val="single" w:color="auto" w:sz="6" w:space="0"/>
            </w:tcBorders>
            <w:vAlign w:val="center"/>
          </w:tcPr>
          <w:p w14:paraId="169458DE">
            <w:pPr>
              <w:keepNext w:val="0"/>
              <w:keepLines w:val="0"/>
              <w:suppressLineNumbers w:val="0"/>
              <w:autoSpaceDE w:val="0"/>
              <w:autoSpaceDN w:val="0"/>
              <w:spacing w:before="0" w:beforeAutospacing="0" w:after="0" w:afterAutospacing="0" w:line="520" w:lineRule="exact"/>
              <w:ind w:left="105" w:leftChars="50" w:right="105" w:rightChars="50"/>
              <w:rPr>
                <w:rFonts w:hint="default" w:ascii="宋体" w:hAnsi="宋体"/>
                <w:kern w:val="0"/>
                <w:szCs w:val="21"/>
              </w:rPr>
            </w:pPr>
            <w:r>
              <w:rPr>
                <w:rFonts w:hint="eastAsia" w:ascii="宋体" w:hAnsi="宋体"/>
                <w:kern w:val="0"/>
                <w:szCs w:val="20"/>
              </w:rPr>
              <w:t>投标报名人应如实填写，表格内除投标报名接受人审查意见一栏</w:t>
            </w:r>
            <w:r>
              <w:rPr>
                <w:rFonts w:hint="eastAsia" w:ascii="宋体" w:hAnsi="宋体"/>
                <w:b/>
                <w:kern w:val="0"/>
                <w:szCs w:val="20"/>
              </w:rPr>
              <w:t>其余须打印且不得修改</w:t>
            </w:r>
            <w:r>
              <w:rPr>
                <w:rFonts w:hint="eastAsia" w:ascii="宋体" w:hAnsi="宋体"/>
                <w:kern w:val="0"/>
                <w:szCs w:val="20"/>
              </w:rPr>
              <w:t>；</w:t>
            </w:r>
          </w:p>
        </w:tc>
      </w:tr>
    </w:tbl>
    <w:p w14:paraId="6F6B271C">
      <w:pPr>
        <w:pStyle w:val="5"/>
        <w:spacing w:line="500" w:lineRule="exact"/>
        <w:ind w:firstLine="420" w:firstLineChars="200"/>
        <w:rPr>
          <w:rFonts w:hint="eastAsia" w:ascii="宋体" w:hAnsi="宋体"/>
        </w:rPr>
      </w:pPr>
      <w:r>
        <w:rPr>
          <w:rFonts w:hint="eastAsia" w:ascii="宋体" w:hAnsi="宋体"/>
        </w:rPr>
        <w:t xml:space="preserve"> </w:t>
      </w:r>
    </w:p>
    <w:sectPr>
      <w:pgSz w:w="11906" w:h="16838"/>
      <w:pgMar w:top="1100" w:right="1236" w:bottom="110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DYyYTk1ZjAwNzcxN2E4YTBkNDYzZjQyMzRiOTUifQ=="/>
  </w:docVars>
  <w:rsids>
    <w:rsidRoot w:val="003026EF"/>
    <w:rsid w:val="00191B3B"/>
    <w:rsid w:val="001A2968"/>
    <w:rsid w:val="003026EF"/>
    <w:rsid w:val="00374943"/>
    <w:rsid w:val="0042365D"/>
    <w:rsid w:val="0042380F"/>
    <w:rsid w:val="006E2AE6"/>
    <w:rsid w:val="0077781D"/>
    <w:rsid w:val="00822797"/>
    <w:rsid w:val="009D03E3"/>
    <w:rsid w:val="00AD0D3B"/>
    <w:rsid w:val="00B11F9F"/>
    <w:rsid w:val="02025461"/>
    <w:rsid w:val="02D957AA"/>
    <w:rsid w:val="037A1943"/>
    <w:rsid w:val="03C07382"/>
    <w:rsid w:val="05C72C4A"/>
    <w:rsid w:val="063B7AA7"/>
    <w:rsid w:val="07F25F78"/>
    <w:rsid w:val="085B41C6"/>
    <w:rsid w:val="08684C6B"/>
    <w:rsid w:val="08B60209"/>
    <w:rsid w:val="09604516"/>
    <w:rsid w:val="09777CC2"/>
    <w:rsid w:val="09F77028"/>
    <w:rsid w:val="0A0E20B9"/>
    <w:rsid w:val="0A2763AD"/>
    <w:rsid w:val="0BED48A0"/>
    <w:rsid w:val="0D0B1E90"/>
    <w:rsid w:val="0D2E1801"/>
    <w:rsid w:val="0D7A4A46"/>
    <w:rsid w:val="0E52151F"/>
    <w:rsid w:val="0F79376E"/>
    <w:rsid w:val="0F8174A7"/>
    <w:rsid w:val="0FB87AA7"/>
    <w:rsid w:val="106B3473"/>
    <w:rsid w:val="10CA7A92"/>
    <w:rsid w:val="11566901"/>
    <w:rsid w:val="12922E00"/>
    <w:rsid w:val="13B011C1"/>
    <w:rsid w:val="13C13E21"/>
    <w:rsid w:val="14BF4037"/>
    <w:rsid w:val="152868D1"/>
    <w:rsid w:val="16013C17"/>
    <w:rsid w:val="16685D83"/>
    <w:rsid w:val="17C77236"/>
    <w:rsid w:val="18CB56ED"/>
    <w:rsid w:val="18F35F39"/>
    <w:rsid w:val="1B020A48"/>
    <w:rsid w:val="1B067919"/>
    <w:rsid w:val="1C3B4BED"/>
    <w:rsid w:val="1C940F54"/>
    <w:rsid w:val="1CED6FE2"/>
    <w:rsid w:val="1D1979CC"/>
    <w:rsid w:val="1D1F1BCC"/>
    <w:rsid w:val="1E01086B"/>
    <w:rsid w:val="1F095C2A"/>
    <w:rsid w:val="1F79042F"/>
    <w:rsid w:val="1F884DA0"/>
    <w:rsid w:val="1F9F529E"/>
    <w:rsid w:val="20391FBC"/>
    <w:rsid w:val="217C217E"/>
    <w:rsid w:val="21812ABA"/>
    <w:rsid w:val="22021990"/>
    <w:rsid w:val="22E051DC"/>
    <w:rsid w:val="22F054B1"/>
    <w:rsid w:val="23A077E7"/>
    <w:rsid w:val="24073D5B"/>
    <w:rsid w:val="24BE13AE"/>
    <w:rsid w:val="24CF313A"/>
    <w:rsid w:val="252E1F46"/>
    <w:rsid w:val="254069C6"/>
    <w:rsid w:val="25EC3BAF"/>
    <w:rsid w:val="26FA1A7E"/>
    <w:rsid w:val="27391E3A"/>
    <w:rsid w:val="276460F3"/>
    <w:rsid w:val="28A879E9"/>
    <w:rsid w:val="294F312F"/>
    <w:rsid w:val="2A7228D5"/>
    <w:rsid w:val="2A8324A7"/>
    <w:rsid w:val="2ADD12F6"/>
    <w:rsid w:val="2BCD1B9A"/>
    <w:rsid w:val="2C163B78"/>
    <w:rsid w:val="2C747CA4"/>
    <w:rsid w:val="2D373673"/>
    <w:rsid w:val="2E1D349F"/>
    <w:rsid w:val="2E4814FD"/>
    <w:rsid w:val="2E586286"/>
    <w:rsid w:val="2E864BA1"/>
    <w:rsid w:val="2EC1207D"/>
    <w:rsid w:val="2F462582"/>
    <w:rsid w:val="2F6B3D97"/>
    <w:rsid w:val="2FCF4F69"/>
    <w:rsid w:val="30F30CD9"/>
    <w:rsid w:val="315B5F74"/>
    <w:rsid w:val="31E542D4"/>
    <w:rsid w:val="32512068"/>
    <w:rsid w:val="32733611"/>
    <w:rsid w:val="32CE2FBA"/>
    <w:rsid w:val="32D2362A"/>
    <w:rsid w:val="352136BF"/>
    <w:rsid w:val="36851D82"/>
    <w:rsid w:val="36993ACE"/>
    <w:rsid w:val="36DB7A54"/>
    <w:rsid w:val="36EA48E7"/>
    <w:rsid w:val="37160A8C"/>
    <w:rsid w:val="37C96753"/>
    <w:rsid w:val="380860BF"/>
    <w:rsid w:val="384B2795"/>
    <w:rsid w:val="39890265"/>
    <w:rsid w:val="3AC3717D"/>
    <w:rsid w:val="3C093037"/>
    <w:rsid w:val="3C096A8A"/>
    <w:rsid w:val="3C3F22AB"/>
    <w:rsid w:val="3C616C4D"/>
    <w:rsid w:val="3CB1259C"/>
    <w:rsid w:val="3D806E0C"/>
    <w:rsid w:val="3E8433D8"/>
    <w:rsid w:val="3F9262D9"/>
    <w:rsid w:val="40103A0E"/>
    <w:rsid w:val="434F1FC9"/>
    <w:rsid w:val="43A062AD"/>
    <w:rsid w:val="43EE526A"/>
    <w:rsid w:val="441605B6"/>
    <w:rsid w:val="442D1D69"/>
    <w:rsid w:val="45975239"/>
    <w:rsid w:val="45F7384D"/>
    <w:rsid w:val="46544DF5"/>
    <w:rsid w:val="46E97F6B"/>
    <w:rsid w:val="47482EE3"/>
    <w:rsid w:val="47AB6FCE"/>
    <w:rsid w:val="4896011B"/>
    <w:rsid w:val="490E1CEB"/>
    <w:rsid w:val="49EA5283"/>
    <w:rsid w:val="4B52634F"/>
    <w:rsid w:val="4CAB437E"/>
    <w:rsid w:val="4DA972F5"/>
    <w:rsid w:val="4E4B5067"/>
    <w:rsid w:val="4ED626E7"/>
    <w:rsid w:val="4F4C51A7"/>
    <w:rsid w:val="4FEC6FE2"/>
    <w:rsid w:val="4FFA4F97"/>
    <w:rsid w:val="504A7CCC"/>
    <w:rsid w:val="50722D7F"/>
    <w:rsid w:val="508A3D01"/>
    <w:rsid w:val="5123190D"/>
    <w:rsid w:val="51F06651"/>
    <w:rsid w:val="520A0F25"/>
    <w:rsid w:val="529A1CF0"/>
    <w:rsid w:val="52F06D9F"/>
    <w:rsid w:val="533254A4"/>
    <w:rsid w:val="536B5649"/>
    <w:rsid w:val="54332825"/>
    <w:rsid w:val="546D4164"/>
    <w:rsid w:val="558645B8"/>
    <w:rsid w:val="560053F5"/>
    <w:rsid w:val="56EC384F"/>
    <w:rsid w:val="576F21DD"/>
    <w:rsid w:val="57811AFA"/>
    <w:rsid w:val="57B95737"/>
    <w:rsid w:val="57DC6A6A"/>
    <w:rsid w:val="57DE03F8"/>
    <w:rsid w:val="58437A20"/>
    <w:rsid w:val="58533581"/>
    <w:rsid w:val="58DF2F7C"/>
    <w:rsid w:val="59B14613"/>
    <w:rsid w:val="5AB908DE"/>
    <w:rsid w:val="5ACB0BB5"/>
    <w:rsid w:val="5B0C5987"/>
    <w:rsid w:val="5B591FF3"/>
    <w:rsid w:val="5C9B5DA4"/>
    <w:rsid w:val="5D295176"/>
    <w:rsid w:val="5D5935FF"/>
    <w:rsid w:val="5DCD7847"/>
    <w:rsid w:val="5E956320"/>
    <w:rsid w:val="5EA3779F"/>
    <w:rsid w:val="5EC25942"/>
    <w:rsid w:val="5ECB022A"/>
    <w:rsid w:val="5F3E2EDE"/>
    <w:rsid w:val="5F8B024A"/>
    <w:rsid w:val="5FD31E64"/>
    <w:rsid w:val="60082DB8"/>
    <w:rsid w:val="6034682D"/>
    <w:rsid w:val="60BA67A8"/>
    <w:rsid w:val="60EB1240"/>
    <w:rsid w:val="612105D5"/>
    <w:rsid w:val="628726BA"/>
    <w:rsid w:val="62F13FD7"/>
    <w:rsid w:val="6366253B"/>
    <w:rsid w:val="636724EC"/>
    <w:rsid w:val="645600A3"/>
    <w:rsid w:val="648D2F0A"/>
    <w:rsid w:val="65466790"/>
    <w:rsid w:val="65C24020"/>
    <w:rsid w:val="670217A3"/>
    <w:rsid w:val="670F1364"/>
    <w:rsid w:val="67804B2A"/>
    <w:rsid w:val="678656C3"/>
    <w:rsid w:val="67AC0F48"/>
    <w:rsid w:val="68AD2237"/>
    <w:rsid w:val="68FC3EB2"/>
    <w:rsid w:val="6971770E"/>
    <w:rsid w:val="69EC54F9"/>
    <w:rsid w:val="6BBA3B00"/>
    <w:rsid w:val="6C967140"/>
    <w:rsid w:val="6CFE17CB"/>
    <w:rsid w:val="6D066806"/>
    <w:rsid w:val="6E034F06"/>
    <w:rsid w:val="6E5D58E7"/>
    <w:rsid w:val="6EBF142E"/>
    <w:rsid w:val="6FC941CA"/>
    <w:rsid w:val="70BF12DD"/>
    <w:rsid w:val="710774C9"/>
    <w:rsid w:val="712A2038"/>
    <w:rsid w:val="71653BDC"/>
    <w:rsid w:val="716B13F9"/>
    <w:rsid w:val="71ED3012"/>
    <w:rsid w:val="72473A1C"/>
    <w:rsid w:val="732564F7"/>
    <w:rsid w:val="7354206C"/>
    <w:rsid w:val="737A3B75"/>
    <w:rsid w:val="73DB0948"/>
    <w:rsid w:val="7455205C"/>
    <w:rsid w:val="74AE63B8"/>
    <w:rsid w:val="75A90E2B"/>
    <w:rsid w:val="76023EAA"/>
    <w:rsid w:val="76AB714E"/>
    <w:rsid w:val="77577098"/>
    <w:rsid w:val="777C146B"/>
    <w:rsid w:val="79333750"/>
    <w:rsid w:val="797704AA"/>
    <w:rsid w:val="79A85CC6"/>
    <w:rsid w:val="79E41D86"/>
    <w:rsid w:val="7B3B62E0"/>
    <w:rsid w:val="7BA07ADE"/>
    <w:rsid w:val="7BA91D55"/>
    <w:rsid w:val="7C90576D"/>
    <w:rsid w:val="7E230E82"/>
    <w:rsid w:val="7F1A3101"/>
    <w:rsid w:val="7FEC0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rPr>
  </w:style>
  <w:style w:type="paragraph" w:styleId="3">
    <w:name w:val="heading 3"/>
    <w:basedOn w:val="1"/>
    <w:next w:val="1"/>
    <w:qFormat/>
    <w:uiPriority w:val="0"/>
    <w:pPr>
      <w:keepNext/>
      <w:keepLines/>
      <w:widowControl/>
      <w:numPr>
        <w:ilvl w:val="2"/>
        <w:numId w:val="1"/>
      </w:numPr>
      <w:spacing w:before="120" w:after="120" w:line="360" w:lineRule="auto"/>
      <w:jc w:val="center"/>
      <w:outlineLvl w:val="2"/>
    </w:pPr>
    <w:rPr>
      <w:b/>
      <w:kern w:val="0"/>
      <w:sz w:val="32"/>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after="120"/>
    </w:pPr>
    <w:rPr>
      <w:szCs w:val="24"/>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unhideWhenUsed/>
    <w:qFormat/>
    <w:uiPriority w:val="99"/>
    <w:rPr>
      <w:color w:val="0563C1"/>
      <w:u w:val="single"/>
    </w:rPr>
  </w:style>
  <w:style w:type="paragraph" w:customStyle="1" w:styleId="11">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character" w:customStyle="1" w:styleId="12">
    <w:name w:val="页脚 字符"/>
    <w:link w:val="6"/>
    <w:qFormat/>
    <w:uiPriority w:val="99"/>
    <w:rPr>
      <w:rFonts w:ascii="Calibri" w:hAnsi="Calibri" w:eastAsia="宋体" w:cs="Times New Roman"/>
      <w:sz w:val="18"/>
      <w:szCs w:val="18"/>
      <w:lang w:val="en-US" w:eastAsia="zh-CN" w:bidi="ar-SA"/>
    </w:rPr>
  </w:style>
  <w:style w:type="character" w:customStyle="1" w:styleId="13">
    <w:name w:val="页眉 字符"/>
    <w:link w:val="7"/>
    <w:qFormat/>
    <w:uiPriority w:val="99"/>
    <w:rPr>
      <w:rFonts w:ascii="Calibri" w:hAnsi="Calibri" w:eastAsia="宋体" w:cs="Times New Roman"/>
      <w:sz w:val="18"/>
      <w:szCs w:val="18"/>
      <w:lang w:val="en-US" w:eastAsia="zh-CN" w:bidi="ar-SA"/>
    </w:rPr>
  </w:style>
  <w:style w:type="paragraph" w:customStyle="1" w:styleId="1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_Style 1"/>
    <w:basedOn w:val="1"/>
    <w:qFormat/>
    <w:uiPriority w:val="99"/>
    <w:pPr>
      <w:jc w:val="left"/>
    </w:pPr>
    <w:rPr>
      <w:rFonts w:ascii="Calibri" w:hAnsi="Calibri"/>
      <w:kern w:val="0"/>
      <w:sz w:val="22"/>
      <w:szCs w:val="22"/>
      <w:lang w:eastAsia="en-US" w:bidi="en-US"/>
    </w:rPr>
  </w:style>
  <w:style w:type="paragraph" w:customStyle="1" w:styleId="16">
    <w:name w:val="正文2"/>
    <w:qFormat/>
    <w:uiPriority w:val="0"/>
    <w:pPr>
      <w:widowControl w:val="0"/>
      <w:jc w:val="both"/>
    </w:pPr>
    <w:rPr>
      <w:rFonts w:ascii="Times New Roman" w:hAnsi="Times New Roman" w:eastAsia="宋体" w:cs="Times New Roman"/>
      <w:lang w:val="en-US" w:eastAsia="zh-CN" w:bidi="ar-SA"/>
    </w:rPr>
  </w:style>
  <w:style w:type="paragraph" w:styleId="17">
    <w:name w:val="List Paragraph"/>
    <w:basedOn w:val="1"/>
    <w:qFormat/>
    <w:uiPriority w:val="34"/>
    <w:pPr>
      <w:ind w:firstLine="420" w:firstLineChars="200"/>
    </w:pPr>
    <w:rPr>
      <w:szCs w:val="24"/>
    </w:rPr>
  </w:style>
  <w:style w:type="paragraph" w:customStyle="1" w:styleId="18">
    <w:name w:val="无间隔1"/>
    <w:basedOn w:val="1"/>
    <w:qFormat/>
    <w:uiPriority w:val="99"/>
  </w:style>
  <w:style w:type="paragraph" w:customStyle="1" w:styleId="19">
    <w:name w:val="p0"/>
    <w:basedOn w:val="1"/>
    <w:qFormat/>
    <w:uiPriority w:val="0"/>
    <w:pPr>
      <w:widowControl/>
    </w:pPr>
    <w:rPr>
      <w:kern w:val="0"/>
      <w:szCs w:val="21"/>
    </w:rPr>
  </w:style>
  <w:style w:type="character" w:customStyle="1" w:styleId="20">
    <w:name w:val="Unresolved Mention"/>
    <w:unhideWhenUsed/>
    <w:qFormat/>
    <w:uiPriority w:val="99"/>
    <w:rPr>
      <w:color w:val="605E5C"/>
      <w:shd w:val="clear" w:color="auto" w:fill="E1DFDD"/>
    </w:rPr>
  </w:style>
  <w:style w:type="paragraph" w:customStyle="1" w:styleId="21">
    <w:name w:val="图例"/>
    <w:qFormat/>
    <w:uiPriority w:val="0"/>
    <w:pPr>
      <w:widowControl w:val="0"/>
      <w:spacing w:before="120" w:after="120" w:line="360" w:lineRule="auto"/>
      <w:jc w:val="center"/>
    </w:pPr>
    <w:rPr>
      <w:rFonts w:ascii="Times New Roman" w:hAnsi="Times New Roman" w:eastAsia="仿宋_GB2312" w:cs="Times New Roman"/>
      <w:b/>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11</Pages>
  <Words>6486</Words>
  <Characters>7036</Characters>
  <Lines>42</Lines>
  <Paragraphs>11</Paragraphs>
  <TotalTime>0</TotalTime>
  <ScaleCrop>false</ScaleCrop>
  <LinksUpToDate>false</LinksUpToDate>
  <CharactersWithSpaces>7178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2025-08-26T01:30:00Z</dcterms:created>
  <dc:creator>周巧英,zqy</dc:creator>
  <cp:lastModifiedBy>Mr.Moto</cp:lastModifiedBy>
  <cp:lastPrinted>2022-07-21T01:39:00Z</cp:lastPrinted>
  <dcterms:modified xsi:type="dcterms:W3CDTF">2025-11-04T03:19:30Z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B1C1A5485362438CA206C9BE7351F867_13</vt:lpwstr>
  </property>
  <property fmtid="{D5CDD505-2E9C-101B-9397-08002B2CF9AE}" pid="4" name="KSOTemplateDocerSaveRecord">
    <vt:lpwstr>eyJoZGlkIjoiOGI4NjI5OTBmMDM1ODFlMDkzNDFlZTFiMWNhZWU5ZTMiLCJ1c2VySWQiOiIyNzY2OTU0NjcifQ==</vt:lpwstr>
  </property>
</Properties>
</file>